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A4B" w:rsidRDefault="00CB3A4B" w:rsidP="00CB3A4B">
      <w:pPr>
        <w:pStyle w:val="Lijstalinea"/>
        <w:spacing w:line="240" w:lineRule="auto"/>
        <w:jc w:val="both"/>
        <w:rPr>
          <w:rFonts w:cs="Calibri"/>
          <w:sz w:val="22"/>
          <w:szCs w:val="22"/>
        </w:rPr>
      </w:pPr>
    </w:p>
    <w:tbl>
      <w:tblPr>
        <w:tblW w:w="9288" w:type="dxa"/>
        <w:tblCellMar>
          <w:left w:w="0" w:type="dxa"/>
          <w:right w:w="0" w:type="dxa"/>
        </w:tblCellMar>
        <w:tblLook w:val="04A0" w:firstRow="1" w:lastRow="0" w:firstColumn="1" w:lastColumn="0" w:noHBand="0" w:noVBand="1"/>
      </w:tblPr>
      <w:tblGrid>
        <w:gridCol w:w="2304"/>
        <w:gridCol w:w="6984"/>
      </w:tblGrid>
      <w:tr w:rsidR="00CB3A4B" w:rsidRPr="002E6C72" w:rsidTr="00AF20E6">
        <w:tc>
          <w:tcPr>
            <w:tcW w:w="230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3A4B" w:rsidRPr="002E6C72" w:rsidRDefault="00CB3A4B" w:rsidP="00AF20E6">
            <w:pPr>
              <w:pStyle w:val="Voetnoottekst"/>
              <w:rPr>
                <w:rStyle w:val="GevolgdeHyperlink"/>
                <w:color w:val="auto"/>
              </w:rPr>
            </w:pPr>
            <w:r w:rsidRPr="002E6C72">
              <w:rPr>
                <w:noProof/>
                <w:lang w:val="nl-BE" w:eastAsia="nl-BE"/>
              </w:rPr>
              <w:drawing>
                <wp:inline distT="0" distB="0" distL="0" distR="0" wp14:anchorId="0BBA83B6" wp14:editId="0D5B8EDF">
                  <wp:extent cx="1257300" cy="1095375"/>
                  <wp:effectExtent l="0" t="0" r="0" b="9525"/>
                  <wp:docPr id="3" name="Afbeelding 3" descr="Beschrijving: Beschrijving: MHF+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MHF+_2colo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tc>
        <w:tc>
          <w:tcPr>
            <w:tcW w:w="6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3A4B" w:rsidRPr="002E6C72" w:rsidRDefault="00CB3A4B" w:rsidP="00AF20E6">
            <w:pPr>
              <w:rPr>
                <w:rFonts w:eastAsiaTheme="minorHAnsi"/>
              </w:rPr>
            </w:pPr>
          </w:p>
          <w:p w:rsidR="00CB3A4B" w:rsidRPr="002E6C72" w:rsidRDefault="00AC66C5" w:rsidP="00AF20E6">
            <w:pPr>
              <w:pStyle w:val="Kop6"/>
            </w:pPr>
            <w:r>
              <w:t xml:space="preserve">definities, </w:t>
            </w:r>
            <w:r w:rsidR="00CB3A4B" w:rsidRPr="002E6C72">
              <w:t>terminologie</w:t>
            </w:r>
            <w:r>
              <w:t>, cijfers</w:t>
            </w:r>
          </w:p>
          <w:p w:rsidR="00CB3A4B" w:rsidRPr="002E6C72" w:rsidRDefault="00CB3A4B" w:rsidP="00AF20E6">
            <w:pPr>
              <w:pStyle w:val="Kop3"/>
            </w:pPr>
            <w:r w:rsidRPr="002E6C72">
              <w:t>Alternatieven voor de term allochtoon/autochtoon</w:t>
            </w:r>
          </w:p>
          <w:p w:rsidR="00CB3A4B" w:rsidRPr="002E6C72" w:rsidRDefault="00A03BC6" w:rsidP="00AF20E6">
            <w:pPr>
              <w:rPr>
                <w:rFonts w:eastAsiaTheme="minorHAnsi"/>
              </w:rPr>
            </w:pPr>
            <w:proofErr w:type="spellStart"/>
            <w:r>
              <w:t>Position</w:t>
            </w:r>
            <w:proofErr w:type="spellEnd"/>
            <w:r>
              <w:t xml:space="preserve"> paper</w:t>
            </w:r>
            <w:r w:rsidR="00CB3A4B" w:rsidRPr="002E6C72">
              <w:t xml:space="preserve"> bij het standpunt ‘terminologie en monitoring’</w:t>
            </w:r>
            <w:r w:rsidR="00CB3A4B">
              <w:t xml:space="preserve"> (juni 2012)</w:t>
            </w:r>
          </w:p>
          <w:p w:rsidR="00CB3A4B" w:rsidRPr="002E6C72" w:rsidRDefault="00CB3A4B" w:rsidP="00AF20E6">
            <w:pPr>
              <w:pStyle w:val="auteur"/>
              <w:rPr>
                <w:color w:val="auto"/>
              </w:rPr>
            </w:pPr>
          </w:p>
        </w:tc>
      </w:tr>
    </w:tbl>
    <w:p w:rsidR="00CB3A4B" w:rsidRPr="002E6C72" w:rsidRDefault="00CB3A4B" w:rsidP="00CB3A4B">
      <w:pPr>
        <w:rPr>
          <w:rFonts w:eastAsiaTheme="minorHAnsi"/>
          <w:szCs w:val="20"/>
        </w:rPr>
      </w:pPr>
    </w:p>
    <w:p w:rsidR="00CB3A4B" w:rsidRPr="002E6C72" w:rsidRDefault="00CB3A4B" w:rsidP="00CB3A4B">
      <w:r w:rsidRPr="002E6C72">
        <w:t>In de discussie over de term ‘allochtonen’ neemt het Minderhedenforum volgend standpunt in</w:t>
      </w:r>
    </w:p>
    <w:p w:rsidR="00CB3A4B" w:rsidRPr="002E6C72" w:rsidRDefault="00CB3A4B" w:rsidP="00CB3A4B"/>
    <w:p w:rsidR="00CB3A4B" w:rsidRPr="002E6C72" w:rsidRDefault="00CB3A4B" w:rsidP="00CB3A4B">
      <w:pPr>
        <w:numPr>
          <w:ilvl w:val="0"/>
          <w:numId w:val="1"/>
        </w:numPr>
        <w:rPr>
          <w:b/>
          <w:bCs/>
          <w:strike/>
        </w:rPr>
      </w:pPr>
      <w:r w:rsidRPr="002E6C72">
        <w:t xml:space="preserve">afstappen van de termen </w:t>
      </w:r>
      <w:r w:rsidRPr="002E6C72">
        <w:rPr>
          <w:b/>
          <w:bCs/>
          <w:strike/>
        </w:rPr>
        <w:t xml:space="preserve">‘autochtonen’ en ‘allochtonen’ </w:t>
      </w:r>
    </w:p>
    <w:p w:rsidR="00CB3A4B" w:rsidRPr="002E6C72" w:rsidRDefault="00CB3A4B" w:rsidP="00CB3A4B">
      <w:pPr>
        <w:numPr>
          <w:ilvl w:val="0"/>
          <w:numId w:val="1"/>
        </w:numPr>
      </w:pPr>
      <w:r w:rsidRPr="002E6C72">
        <w:t xml:space="preserve">blijven </w:t>
      </w:r>
      <w:r w:rsidRPr="002E6C72">
        <w:rPr>
          <w:b/>
        </w:rPr>
        <w:t>herkennen en erkennen van sociale ongelijkheid</w:t>
      </w:r>
      <w:r w:rsidRPr="002E6C72">
        <w:t xml:space="preserve"> op basis van etniciteit, migratie-achtergrond, huidskleur en/of levensbeschouwing </w:t>
      </w:r>
    </w:p>
    <w:p w:rsidR="00CB3A4B" w:rsidRPr="002E6C72" w:rsidRDefault="00CB3A4B" w:rsidP="00CB3A4B">
      <w:pPr>
        <w:numPr>
          <w:ilvl w:val="0"/>
          <w:numId w:val="1"/>
        </w:numPr>
      </w:pPr>
      <w:r w:rsidRPr="002E6C72">
        <w:t xml:space="preserve">correct gebruik van </w:t>
      </w:r>
      <w:r w:rsidRPr="002E6C72">
        <w:rPr>
          <w:b/>
          <w:bCs/>
        </w:rPr>
        <w:t>objectieve en beschrijvende termen</w:t>
      </w:r>
      <w:r w:rsidRPr="002E6C72">
        <w:t xml:space="preserve"> </w:t>
      </w:r>
    </w:p>
    <w:p w:rsidR="00CB3A4B" w:rsidRPr="002E6C72" w:rsidRDefault="00CB3A4B" w:rsidP="00CB3A4B">
      <w:pPr>
        <w:numPr>
          <w:ilvl w:val="0"/>
          <w:numId w:val="1"/>
        </w:numPr>
      </w:pPr>
      <w:r w:rsidRPr="002E6C72">
        <w:t xml:space="preserve">een beleid dat voortbouwt op eenduidige </w:t>
      </w:r>
      <w:r w:rsidRPr="002E6C72">
        <w:rPr>
          <w:b/>
          <w:bCs/>
        </w:rPr>
        <w:t xml:space="preserve">cijfers in plaats van </w:t>
      </w:r>
      <w:r w:rsidRPr="002E6C72">
        <w:t>op</w:t>
      </w:r>
      <w:r w:rsidRPr="002E6C72">
        <w:rPr>
          <w:b/>
          <w:bCs/>
        </w:rPr>
        <w:t xml:space="preserve"> vooroordelen</w:t>
      </w:r>
    </w:p>
    <w:p w:rsidR="00CB3A4B" w:rsidRPr="002E6C72" w:rsidRDefault="00CB3A4B" w:rsidP="00CB3A4B">
      <w:pPr>
        <w:ind w:left="1080"/>
        <w:rPr>
          <w:rFonts w:eastAsiaTheme="minorHAnsi"/>
        </w:rPr>
      </w:pPr>
    </w:p>
    <w:p w:rsidR="00CB3A4B" w:rsidRPr="002E6C72" w:rsidRDefault="00CB3A4B" w:rsidP="00CB3A4B">
      <w:r w:rsidRPr="002E6C72">
        <w:t>De termen autochtoon/allochtoon zijn niet de enige stigmatiserende termen die gangbaar zijn. Daarom lijsten we in deze nota op welke termen wij wel of niet stigmatiserend vinden. Maar eerst enkele algemene richtlijnen en even verduidelijken over wie we het hebben.</w:t>
      </w:r>
    </w:p>
    <w:p w:rsidR="00CB3A4B" w:rsidRPr="002E6C72" w:rsidRDefault="00CB3A4B" w:rsidP="00CB3A4B">
      <w:pPr>
        <w:pStyle w:val="Kop3"/>
      </w:pPr>
      <w:r w:rsidRPr="002E6C72">
        <w:t>A. Algemene richtlijnen</w:t>
      </w:r>
    </w:p>
    <w:p w:rsidR="00CB3A4B" w:rsidRPr="002E6C72" w:rsidRDefault="00CB3A4B" w:rsidP="00CB3A4B"/>
    <w:p w:rsidR="00CB3A4B" w:rsidRPr="002E6C72" w:rsidRDefault="00CB3A4B" w:rsidP="00CB3A4B">
      <w:r w:rsidRPr="002E6C72">
        <w:rPr>
          <w:b/>
          <w:bCs/>
        </w:rPr>
        <w:t>1. Denk inclusief, praat inclusief.</w:t>
      </w:r>
      <w:r w:rsidRPr="002E6C72">
        <w:t xml:space="preserve"> Gebruik nooit termen die verwijzen naar minderheden in tegenstelling tot Belg/Belgisch, Vlaming/Vlaams. Mensen met een migratieachtergrond zijn ook deel van de Vlaamse/Belgische samenleving. Verenigingen van etnisch-culturele minderheden zijn ook Vlaamse/Belgische verenigingen.. </w:t>
      </w:r>
    </w:p>
    <w:p w:rsidR="00CB3A4B" w:rsidRPr="002E6C72" w:rsidRDefault="00CB3A4B" w:rsidP="00CB3A4B"/>
    <w:p w:rsidR="00CB3A4B" w:rsidRPr="002E6C72" w:rsidRDefault="00CB3A4B" w:rsidP="00CB3A4B">
      <w:r w:rsidRPr="002E6C72">
        <w:rPr>
          <w:b/>
          <w:bCs/>
        </w:rPr>
        <w:t xml:space="preserve">2. </w:t>
      </w:r>
      <w:proofErr w:type="spellStart"/>
      <w:r w:rsidRPr="002E6C72">
        <w:rPr>
          <w:b/>
          <w:bCs/>
        </w:rPr>
        <w:t>Etniciseer</w:t>
      </w:r>
      <w:proofErr w:type="spellEnd"/>
      <w:r w:rsidRPr="002E6C72">
        <w:rPr>
          <w:b/>
          <w:bCs/>
        </w:rPr>
        <w:t xml:space="preserve"> niet, </w:t>
      </w:r>
      <w:proofErr w:type="spellStart"/>
      <w:r w:rsidRPr="002E6C72">
        <w:rPr>
          <w:b/>
          <w:bCs/>
        </w:rPr>
        <w:t>culturaliseer</w:t>
      </w:r>
      <w:proofErr w:type="spellEnd"/>
      <w:r w:rsidRPr="002E6C72">
        <w:rPr>
          <w:b/>
          <w:bCs/>
        </w:rPr>
        <w:t xml:space="preserve"> niet</w:t>
      </w:r>
      <w:r w:rsidRPr="002E6C72">
        <w:t>. Vermijd verwijzingen naar afkomst of levensbeschouwing als die niet relevant zijn. Benoem groepen op basis van de thematiek die zich stelt (bv. kansarme leerlingen i.p.v. allochtone leerlingen).</w:t>
      </w:r>
    </w:p>
    <w:p w:rsidR="00CB3A4B" w:rsidRPr="002E6C72" w:rsidRDefault="00CB3A4B" w:rsidP="00CB3A4B">
      <w:pPr>
        <w:rPr>
          <w:b/>
          <w:bCs/>
        </w:rPr>
      </w:pPr>
    </w:p>
    <w:p w:rsidR="00CB3A4B" w:rsidRPr="002E6C72" w:rsidRDefault="00CB3A4B" w:rsidP="00CB3A4B">
      <w:r w:rsidRPr="002E6C72">
        <w:rPr>
          <w:b/>
          <w:bCs/>
        </w:rPr>
        <w:t xml:space="preserve">3. Zeg precies wat je bedoelt. </w:t>
      </w:r>
      <w:r w:rsidRPr="002E6C72">
        <w:t xml:space="preserve">Gebruik bij voorkeur termen voor specifieke groepen die duidelijk gedefinieerd zijn. Praat je in een context van levensbeschouwing, gebruik dan bijvoorbeeld geen termen die te maken hebben met migratieachtergrond – of omgekeerd. (Bv. moslim is geen synoniem voor </w:t>
      </w:r>
      <w:proofErr w:type="spellStart"/>
      <w:r w:rsidRPr="002E6C72">
        <w:t>Maghrebijnse</w:t>
      </w:r>
      <w:proofErr w:type="spellEnd"/>
      <w:r w:rsidRPr="002E6C72">
        <w:t xml:space="preserve"> Belgen – en omgekeerd)</w:t>
      </w:r>
    </w:p>
    <w:p w:rsidR="00CB3A4B" w:rsidRPr="002E6C72" w:rsidRDefault="00CB3A4B" w:rsidP="00CB3A4B"/>
    <w:p w:rsidR="00CB3A4B" w:rsidRPr="002E6C72" w:rsidRDefault="00CB3A4B" w:rsidP="00CB3A4B">
      <w:pPr>
        <w:pStyle w:val="Kop3"/>
      </w:pPr>
      <w:r w:rsidRPr="002E6C72">
        <w:t>B. Definities: over wie praten we?</w:t>
      </w:r>
    </w:p>
    <w:p w:rsidR="00CB3A4B" w:rsidRPr="002E6C72" w:rsidRDefault="00CB3A4B" w:rsidP="00CB3A4B"/>
    <w:p w:rsidR="00CB3A4B" w:rsidRPr="002E6C72" w:rsidRDefault="00CB3A4B" w:rsidP="00CB3A4B">
      <w:r w:rsidRPr="002E6C72">
        <w:t xml:space="preserve">We leven in een </w:t>
      </w:r>
      <w:proofErr w:type="spellStart"/>
      <w:r w:rsidRPr="002E6C72">
        <w:t>superdiverse</w:t>
      </w:r>
      <w:proofErr w:type="spellEnd"/>
      <w:r w:rsidRPr="002E6C72">
        <w:t xml:space="preserve"> samenleving, die tegelijk gekenmerkt wordt door grote sociale ongelijkheid. Wij komen op voor groepen mensen die omwille van hun afkomst, huidskleur, specifieke subcultuur (woonwagenbewoners), levensbeschouwing kwetsbaar zijn voor discriminatie en sociale uitsluiting. We noemen deze brede en diverse groep mensen etnisch-culturele minderheden. Het is echter belangrijk een onderscheid te maken tussen het individuele niveau en het maatschappelijke niveau.</w:t>
      </w:r>
    </w:p>
    <w:p w:rsidR="00CB3A4B" w:rsidRPr="002E6C72" w:rsidRDefault="00CB3A4B" w:rsidP="00CB3A4B">
      <w:pPr>
        <w:pStyle w:val="Kop3"/>
      </w:pPr>
      <w:r w:rsidRPr="002E6C72">
        <w:t xml:space="preserve">B.1. Individueel </w:t>
      </w:r>
    </w:p>
    <w:p w:rsidR="00CB3A4B" w:rsidRPr="002E6C72" w:rsidRDefault="00CB3A4B" w:rsidP="00CB3A4B"/>
    <w:p w:rsidR="00CB3A4B" w:rsidRPr="002E6C72" w:rsidRDefault="00CB3A4B" w:rsidP="00CB3A4B">
      <w:r w:rsidRPr="002E6C72">
        <w:rPr>
          <w:i/>
        </w:rPr>
        <w:t xml:space="preserve">Of iemand als individu behoort tot ‘etnisch-culturele minderheden’, hangt af van een </w:t>
      </w:r>
      <w:r w:rsidRPr="002E6C72">
        <w:rPr>
          <w:i/>
          <w:u w:val="single"/>
        </w:rPr>
        <w:t>dubbele perceptie:</w:t>
      </w:r>
      <w:r w:rsidRPr="002E6C72">
        <w:rPr>
          <w:i/>
        </w:rPr>
        <w:t xml:space="preserve">  hoe die persoon zichzelf ziet (identiteit) en hoe anderen hem of haar zien.</w:t>
      </w:r>
    </w:p>
    <w:p w:rsidR="00CB3A4B" w:rsidRPr="002E6C72" w:rsidRDefault="00CB3A4B" w:rsidP="00CB3A4B"/>
    <w:p w:rsidR="00CB3A4B" w:rsidRPr="002E6C72" w:rsidRDefault="00CB3A4B" w:rsidP="00CB3A4B">
      <w:r w:rsidRPr="002E6C72">
        <w:lastRenderedPageBreak/>
        <w:t>Deze subjectieve definitie veranderlijk: een persoon kan zich soms wel/niet/meer/minder als behorend tot etnisch-culturele minderheden rekenen en soms wel/niet/meer/minder als dusdanig door anderen worden gezien.</w:t>
      </w:r>
    </w:p>
    <w:p w:rsidR="00CB3A4B" w:rsidRPr="002E6C72" w:rsidRDefault="00CB3A4B" w:rsidP="00CB3A4B"/>
    <w:p w:rsidR="00CB3A4B" w:rsidRPr="002E6C72" w:rsidRDefault="00CB3A4B" w:rsidP="00CB3A4B">
      <w:pPr>
        <w:rPr>
          <w:b/>
        </w:rPr>
      </w:pPr>
      <w:r w:rsidRPr="002E6C72">
        <w:rPr>
          <w:b/>
        </w:rPr>
        <w:t>Identiteit: etnisch-culturele minderheden</w:t>
      </w:r>
    </w:p>
    <w:p w:rsidR="00CB3A4B" w:rsidRPr="002E6C72" w:rsidRDefault="00CB3A4B" w:rsidP="00CB3A4B">
      <w:pPr>
        <w:rPr>
          <w:i/>
        </w:rPr>
      </w:pPr>
      <w:r w:rsidRPr="002E6C72">
        <w:rPr>
          <w:i/>
        </w:rPr>
        <w:t>Elke persoon heeft een eigen identiteit. Elke persoon bepaalt zelf of, in welke mate en op welke manier etnische, culturele, en/of levensbeschouwelijke daarin een plaats innemen. Identiteiten zijn gelaagd en veranderlijk.</w:t>
      </w:r>
    </w:p>
    <w:p w:rsidR="00CB3A4B" w:rsidRPr="002E6C72" w:rsidRDefault="00CB3A4B" w:rsidP="00CB3A4B">
      <w:pPr>
        <w:rPr>
          <w:i/>
        </w:rPr>
      </w:pPr>
    </w:p>
    <w:p w:rsidR="00CB3A4B" w:rsidRPr="002E6C72" w:rsidRDefault="00CB3A4B" w:rsidP="00CB3A4B">
      <w:r w:rsidRPr="002E6C72">
        <w:t xml:space="preserve">Vanuit het vertrekpunt dat de individuele keuzevrijheid van de betrokkene primeert, bepaalt elke persoon zelf of / in welke mate hij/zijn ziet als behorend tot etnisch-culturele minderheden (of een deelgroep daarvan). Deze benadering is perfect legitiem (ieder individu heeft recht om zich al dan niet tot een zogenaamde groep te rekenen). </w:t>
      </w:r>
    </w:p>
    <w:p w:rsidR="00CB3A4B" w:rsidRPr="002E6C72" w:rsidRDefault="00CB3A4B" w:rsidP="00CB3A4B"/>
    <w:p w:rsidR="00CB3A4B" w:rsidRPr="002E6C72" w:rsidRDefault="00CB3A4B" w:rsidP="00CB3A4B">
      <w:pPr>
        <w:rPr>
          <w:b/>
        </w:rPr>
      </w:pPr>
      <w:r w:rsidRPr="002E6C72">
        <w:rPr>
          <w:b/>
        </w:rPr>
        <w:t xml:space="preserve">Externe perceptie: </w:t>
      </w:r>
      <w:proofErr w:type="spellStart"/>
      <w:r w:rsidRPr="002E6C72">
        <w:rPr>
          <w:b/>
        </w:rPr>
        <w:t>visible</w:t>
      </w:r>
      <w:proofErr w:type="spellEnd"/>
      <w:r w:rsidRPr="002E6C72">
        <w:rPr>
          <w:b/>
        </w:rPr>
        <w:t xml:space="preserve"> </w:t>
      </w:r>
      <w:proofErr w:type="spellStart"/>
      <w:r w:rsidRPr="002E6C72">
        <w:rPr>
          <w:b/>
        </w:rPr>
        <w:t>minority</w:t>
      </w:r>
      <w:proofErr w:type="spellEnd"/>
    </w:p>
    <w:p w:rsidR="00CB3A4B" w:rsidRPr="002E6C72" w:rsidRDefault="00CB3A4B" w:rsidP="00CB3A4B">
      <w:r w:rsidRPr="002E6C72">
        <w:t>Een persoon staat niet alleen in de samenleving, hij/zij staat in contact en interactie met anderen. Vandaaruit is de benadering van ‘</w:t>
      </w:r>
      <w:proofErr w:type="spellStart"/>
      <w:r w:rsidRPr="002E6C72">
        <w:t>visible</w:t>
      </w:r>
      <w:proofErr w:type="spellEnd"/>
      <w:r w:rsidRPr="002E6C72">
        <w:t xml:space="preserve"> </w:t>
      </w:r>
      <w:proofErr w:type="spellStart"/>
      <w:r w:rsidRPr="002E6C72">
        <w:t>minority</w:t>
      </w:r>
      <w:proofErr w:type="spellEnd"/>
      <w:r w:rsidRPr="002E6C72">
        <w:t>’ nuttig. Daarbij gaat het om de perceptie van anderen (ik zie hem of haar wel of niet als behorend tot etnisch-culturele minderheden of een deelgroep daarvan). De manier waarop anderen je zien kan een invloed hebben op je eigen identiteit. Het bepaalt bijvoorbeeld ook het beeld dat iemand heeft over de (aan- of afwezigheid van) diversiteit in televisieprogramma’s, in de politiek, bij het personeel van een bepaald bedrijf.</w:t>
      </w:r>
    </w:p>
    <w:p w:rsidR="00CB3A4B" w:rsidRPr="002E6C72" w:rsidRDefault="00CB3A4B" w:rsidP="00CB3A4B">
      <w:pPr>
        <w:rPr>
          <w:i/>
        </w:rPr>
      </w:pPr>
    </w:p>
    <w:p w:rsidR="00CB3A4B" w:rsidRPr="002E6C72" w:rsidRDefault="00CB3A4B" w:rsidP="00CB3A4B"/>
    <w:p w:rsidR="00CB3A4B" w:rsidRPr="002E6C72" w:rsidRDefault="00CB3A4B" w:rsidP="00CB3A4B">
      <w:pPr>
        <w:pStyle w:val="Kop3"/>
      </w:pPr>
      <w:r w:rsidRPr="002E6C72">
        <w:t>B.2. Maatschappelijk</w:t>
      </w:r>
    </w:p>
    <w:p w:rsidR="00CB3A4B" w:rsidRPr="002E6C72" w:rsidRDefault="00CB3A4B" w:rsidP="00CB3A4B">
      <w:r w:rsidRPr="002E6C72">
        <w:t>Om de samenleving te analyseren via onderzoek en om gericht beleid te voeren, is een subjectieve afbakening niet bruikbaar. Er zijn indicatoren nodig die op objectieve basis die werkelijkheid zo nauwkeurig mogelijk omschrijven. Het gaat dan om cijfers op groepsniveau, die wel tendensen kunnen weergeven maar uiteraard niet determinerend zijn op het niveau van het individu.</w:t>
      </w:r>
    </w:p>
    <w:p w:rsidR="00CB3A4B" w:rsidRPr="002E6C72" w:rsidRDefault="00CB3A4B" w:rsidP="00CB3A4B"/>
    <w:p w:rsidR="00CB3A4B" w:rsidRPr="002E6C72" w:rsidRDefault="00CB3A4B" w:rsidP="00CB3A4B">
      <w:r w:rsidRPr="002E6C72">
        <w:t>Dergelijke objectief becijferbare afbakening is noodzakelijk in het kader van een beleid van gelijke kansen, diversiteit en evenredige deelname. Ze is enkel legitiem als ze gepaard gaat met de nodige garanties voor de privacy.</w:t>
      </w:r>
    </w:p>
    <w:p w:rsidR="00CB3A4B" w:rsidRPr="002E6C72" w:rsidRDefault="00CB3A4B" w:rsidP="00CB3A4B"/>
    <w:p w:rsidR="00CB3A4B" w:rsidRPr="002E6C72" w:rsidRDefault="00CB3A4B" w:rsidP="00CB3A4B">
      <w:pPr>
        <w:rPr>
          <w:i/>
        </w:rPr>
      </w:pPr>
      <w:r w:rsidRPr="002E6C72">
        <w:rPr>
          <w:b/>
        </w:rPr>
        <w:t>Objectieve afbakening</w:t>
      </w:r>
      <w:r w:rsidRPr="002E6C72">
        <w:rPr>
          <w:b/>
        </w:rPr>
        <w:br/>
      </w:r>
      <w:r w:rsidRPr="002E6C72">
        <w:rPr>
          <w:i/>
          <w:u w:val="single"/>
        </w:rPr>
        <w:t>Objectieve en neutrale gegevens</w:t>
      </w:r>
      <w:r w:rsidRPr="002E6C72">
        <w:rPr>
          <w:i/>
        </w:rPr>
        <w:t>, zoals verblijfsduur en nationaliteitshistoriek van de persoon en diens (groot)ouders, omschrijven op dit moment relatief goed de groep etnisch-culturele minderheden.</w:t>
      </w:r>
    </w:p>
    <w:p w:rsidR="00CB3A4B" w:rsidRPr="002E6C72" w:rsidRDefault="00CB3A4B" w:rsidP="00CB3A4B"/>
    <w:p w:rsidR="00CB3A4B" w:rsidRPr="002E6C72" w:rsidRDefault="00CB3A4B" w:rsidP="00CB3A4B">
      <w:r w:rsidRPr="002E6C72">
        <w:t xml:space="preserve">Kijken we vandaag de dag naar etnisch-culturele minderheden in ons land, dan is de benadering </w:t>
      </w:r>
      <w:r w:rsidRPr="002E6C72">
        <w:rPr>
          <w:b/>
        </w:rPr>
        <w:t>‘migratieachtergrond’</w:t>
      </w:r>
      <w:r w:rsidRPr="002E6C72">
        <w:t xml:space="preserve"> de meest bruikbare. We zien de term ‘migratieachtergrond’ trouwens in  steeds meer beleidsteksten in Vlaanderen en Nederland opduiken. </w:t>
      </w:r>
    </w:p>
    <w:p w:rsidR="00CB3A4B" w:rsidRPr="002E6C72" w:rsidRDefault="00CB3A4B" w:rsidP="00CB3A4B"/>
    <w:p w:rsidR="00CB3A4B" w:rsidRPr="002E6C72" w:rsidRDefault="00CB3A4B" w:rsidP="00CB3A4B">
      <w:r w:rsidRPr="002E6C72">
        <w:t>Het Minderhedenforum is van mening dat deze benadering (en de term) bruikbaar is als de nodige garanties voor de individuele keuzevrijheid en privacy worden ingebouwd.</w:t>
      </w:r>
    </w:p>
    <w:p w:rsidR="00CB3A4B" w:rsidRPr="002E6C72" w:rsidRDefault="00CB3A4B" w:rsidP="00CB3A4B"/>
    <w:p w:rsidR="00CB3A4B" w:rsidRPr="002E6C72" w:rsidRDefault="00CB3A4B" w:rsidP="00CB3A4B">
      <w:pPr>
        <w:rPr>
          <w:szCs w:val="20"/>
        </w:rPr>
      </w:pPr>
      <w:r w:rsidRPr="002E6C72">
        <w:t xml:space="preserve">Het Minderhedenforum bakent het begrip migratieachtergrond voor wat betreft de historiek van </w:t>
      </w:r>
      <w:r w:rsidRPr="002E6C72">
        <w:rPr>
          <w:szCs w:val="20"/>
        </w:rPr>
        <w:t>nationaliteiten af als volgt:</w:t>
      </w:r>
    </w:p>
    <w:p w:rsidR="00CB3A4B" w:rsidRPr="002E6C72" w:rsidRDefault="00CB3A4B" w:rsidP="00CB3A4B">
      <w:pPr>
        <w:pStyle w:val="Lijstalinea"/>
        <w:numPr>
          <w:ilvl w:val="0"/>
          <w:numId w:val="2"/>
        </w:numPr>
        <w:rPr>
          <w:rFonts w:ascii="Century" w:hAnsi="Century"/>
          <w:sz w:val="20"/>
          <w:szCs w:val="20"/>
        </w:rPr>
      </w:pPr>
      <w:r w:rsidRPr="002E6C72">
        <w:rPr>
          <w:rFonts w:ascii="Century" w:hAnsi="Century"/>
          <w:sz w:val="20"/>
          <w:szCs w:val="20"/>
        </w:rPr>
        <w:t>ruimtelijk: afbakening op basis van een lijst van niet-Europese</w:t>
      </w:r>
      <w:r w:rsidRPr="002E6C72">
        <w:rPr>
          <w:rStyle w:val="Voetnootmarkering"/>
          <w:rFonts w:ascii="Century" w:hAnsi="Century"/>
          <w:sz w:val="20"/>
          <w:szCs w:val="20"/>
        </w:rPr>
        <w:footnoteReference w:id="1"/>
      </w:r>
      <w:r w:rsidRPr="002E6C72">
        <w:rPr>
          <w:rFonts w:ascii="Century" w:hAnsi="Century"/>
          <w:sz w:val="20"/>
          <w:szCs w:val="20"/>
        </w:rPr>
        <w:t>, Zuid-Europese</w:t>
      </w:r>
      <w:r w:rsidRPr="002E6C72">
        <w:rPr>
          <w:rStyle w:val="Voetnootmarkering"/>
          <w:rFonts w:ascii="Century" w:hAnsi="Century"/>
          <w:sz w:val="20"/>
          <w:szCs w:val="20"/>
        </w:rPr>
        <w:footnoteReference w:id="2"/>
      </w:r>
      <w:r w:rsidRPr="002E6C72">
        <w:rPr>
          <w:rFonts w:ascii="Century" w:hAnsi="Century"/>
          <w:sz w:val="20"/>
          <w:szCs w:val="20"/>
        </w:rPr>
        <w:t xml:space="preserve"> en Oost-Europese migratielanden</w:t>
      </w:r>
      <w:r w:rsidRPr="002E6C72">
        <w:rPr>
          <w:rStyle w:val="Voetnootmarkering"/>
          <w:rFonts w:ascii="Century" w:hAnsi="Century"/>
          <w:sz w:val="20"/>
          <w:szCs w:val="20"/>
        </w:rPr>
        <w:footnoteReference w:id="3"/>
      </w:r>
      <w:r w:rsidRPr="002E6C72">
        <w:rPr>
          <w:rFonts w:ascii="Century" w:hAnsi="Century"/>
          <w:sz w:val="20"/>
          <w:szCs w:val="20"/>
        </w:rPr>
        <w:t>, die historisch zowel binnen als buiten de huidige EU</w:t>
      </w:r>
      <w:r>
        <w:rPr>
          <w:rFonts w:ascii="Century" w:hAnsi="Century"/>
          <w:sz w:val="20"/>
          <w:szCs w:val="20"/>
        </w:rPr>
        <w:t>27</w:t>
      </w:r>
      <w:r w:rsidRPr="002E6C72">
        <w:rPr>
          <w:rFonts w:ascii="Century" w:hAnsi="Century"/>
          <w:sz w:val="20"/>
          <w:szCs w:val="20"/>
        </w:rPr>
        <w:t xml:space="preserve"> liggen</w:t>
      </w:r>
    </w:p>
    <w:p w:rsidR="00CB3A4B" w:rsidRPr="002E6C72" w:rsidRDefault="00CB3A4B" w:rsidP="00CB3A4B">
      <w:pPr>
        <w:pStyle w:val="Lijstalinea"/>
        <w:numPr>
          <w:ilvl w:val="0"/>
          <w:numId w:val="2"/>
        </w:numPr>
        <w:rPr>
          <w:rFonts w:ascii="Century" w:hAnsi="Century"/>
          <w:sz w:val="20"/>
          <w:szCs w:val="20"/>
        </w:rPr>
      </w:pPr>
      <w:r w:rsidRPr="002E6C72">
        <w:rPr>
          <w:rFonts w:ascii="Century" w:hAnsi="Century"/>
          <w:sz w:val="20"/>
          <w:szCs w:val="20"/>
        </w:rPr>
        <w:lastRenderedPageBreak/>
        <w:t>in de tijd: beperkt tot de nationaliteitshistoriek</w:t>
      </w:r>
      <w:r w:rsidRPr="002E6C72">
        <w:rPr>
          <w:rStyle w:val="Voetnootmarkering"/>
          <w:rFonts w:ascii="Century" w:hAnsi="Century"/>
          <w:sz w:val="20"/>
          <w:szCs w:val="20"/>
        </w:rPr>
        <w:footnoteReference w:id="4"/>
      </w:r>
      <w:r w:rsidRPr="002E6C72">
        <w:rPr>
          <w:rFonts w:ascii="Century" w:hAnsi="Century"/>
          <w:sz w:val="20"/>
          <w:szCs w:val="20"/>
        </w:rPr>
        <w:t xml:space="preserve"> van de ouders (niet de grootouders) en dit om een dubbele reden </w:t>
      </w:r>
    </w:p>
    <w:p w:rsidR="00CB3A4B" w:rsidRPr="002E6C72" w:rsidRDefault="00CB3A4B" w:rsidP="00CB3A4B">
      <w:pPr>
        <w:pStyle w:val="Lijstalinea"/>
        <w:numPr>
          <w:ilvl w:val="1"/>
          <w:numId w:val="2"/>
        </w:numPr>
        <w:rPr>
          <w:rFonts w:ascii="Century" w:hAnsi="Century"/>
          <w:sz w:val="20"/>
          <w:szCs w:val="20"/>
        </w:rPr>
      </w:pPr>
      <w:r w:rsidRPr="002E6C72">
        <w:rPr>
          <w:rFonts w:ascii="Century" w:hAnsi="Century"/>
          <w:sz w:val="20"/>
          <w:szCs w:val="20"/>
        </w:rPr>
        <w:t>praktisch: de nationaliteit van de grootouders is  niet of onvoldoende beschikbaar</w:t>
      </w:r>
    </w:p>
    <w:p w:rsidR="00CB3A4B" w:rsidRPr="002E6C72" w:rsidRDefault="00CB3A4B" w:rsidP="00CB3A4B">
      <w:pPr>
        <w:pStyle w:val="Lijstalinea"/>
        <w:numPr>
          <w:ilvl w:val="1"/>
          <w:numId w:val="2"/>
        </w:numPr>
        <w:rPr>
          <w:rFonts w:ascii="Century" w:hAnsi="Century"/>
          <w:sz w:val="20"/>
          <w:szCs w:val="20"/>
        </w:rPr>
      </w:pPr>
      <w:r w:rsidRPr="002E6C72">
        <w:rPr>
          <w:rFonts w:ascii="Century" w:hAnsi="Century"/>
          <w:sz w:val="20"/>
          <w:szCs w:val="20"/>
        </w:rPr>
        <w:t>principieel: het is niet voor al onze leden wenselijk om de nationaliteit van de grootouders te traceren</w:t>
      </w:r>
    </w:p>
    <w:p w:rsidR="00CB3A4B" w:rsidRPr="002E6C72" w:rsidRDefault="00CB3A4B" w:rsidP="00CB3A4B">
      <w:pPr>
        <w:jc w:val="both"/>
        <w:rPr>
          <w:b/>
        </w:rPr>
      </w:pPr>
    </w:p>
    <w:p w:rsidR="00CB3A4B" w:rsidRPr="002E6C72" w:rsidRDefault="00CB3A4B" w:rsidP="00CB3A4B">
      <w:pPr>
        <w:jc w:val="both"/>
        <w:rPr>
          <w:b/>
        </w:rPr>
      </w:pPr>
      <w:r w:rsidRPr="002E6C72">
        <w:rPr>
          <w:b/>
        </w:rPr>
        <w:t xml:space="preserve">Garanties voor de privacy </w:t>
      </w:r>
    </w:p>
    <w:p w:rsidR="00CB3A4B" w:rsidRPr="002E6C72" w:rsidRDefault="00CB3A4B" w:rsidP="00CB3A4B">
      <w:pPr>
        <w:jc w:val="both"/>
      </w:pPr>
      <w:r w:rsidRPr="002E6C72">
        <w:t>Cijfergegevens met betrekking tot ‘migratieachtergrond’ kunnen berekend worden op basis van gekruiste gegevens van registers en databanken</w:t>
      </w:r>
      <w:r w:rsidRPr="002E6C72">
        <w:rPr>
          <w:rStyle w:val="Voetnootmarkering"/>
        </w:rPr>
        <w:footnoteReference w:id="5"/>
      </w:r>
      <w:r w:rsidRPr="002E6C72">
        <w:t xml:space="preserve"> of ingeschat worden op basis van </w:t>
      </w:r>
      <w:proofErr w:type="spellStart"/>
      <w:r w:rsidRPr="002E6C72">
        <w:t>surveys</w:t>
      </w:r>
      <w:proofErr w:type="spellEnd"/>
      <w:r w:rsidRPr="002E6C72">
        <w:rPr>
          <w:rStyle w:val="Voetnootmarkering"/>
        </w:rPr>
        <w:footnoteReference w:id="6"/>
      </w:r>
      <w:r w:rsidRPr="002E6C72">
        <w:t xml:space="preserve"> of naamherkenning</w:t>
      </w:r>
      <w:r w:rsidRPr="002E6C72">
        <w:rPr>
          <w:rStyle w:val="Voetnootmarkering"/>
        </w:rPr>
        <w:footnoteReference w:id="7"/>
      </w:r>
      <w:r w:rsidRPr="002E6C72">
        <w:t>. Uit respect voor de individuele keuzevrijheid en de privacy van elk individu vraagt het Minderhedenforum</w:t>
      </w:r>
    </w:p>
    <w:p w:rsidR="00CB3A4B" w:rsidRPr="002E6C72" w:rsidRDefault="00CB3A4B" w:rsidP="00CB3A4B">
      <w:pPr>
        <w:jc w:val="both"/>
      </w:pPr>
    </w:p>
    <w:p w:rsidR="00CB3A4B" w:rsidRPr="002E6C72" w:rsidRDefault="00CB3A4B" w:rsidP="00CB3A4B">
      <w:pPr>
        <w:pStyle w:val="Lijstalinea"/>
        <w:numPr>
          <w:ilvl w:val="0"/>
          <w:numId w:val="2"/>
        </w:numPr>
        <w:jc w:val="both"/>
        <w:rPr>
          <w:rFonts w:ascii="Century" w:hAnsi="Century"/>
          <w:sz w:val="20"/>
          <w:szCs w:val="20"/>
        </w:rPr>
      </w:pPr>
      <w:r w:rsidRPr="002E6C72">
        <w:rPr>
          <w:rFonts w:ascii="Century" w:hAnsi="Century"/>
          <w:sz w:val="20"/>
          <w:szCs w:val="20"/>
        </w:rPr>
        <w:t>garanties voor de privacy bij gekruiste gegevens</w:t>
      </w:r>
      <w:r w:rsidRPr="002E6C72">
        <w:rPr>
          <w:rStyle w:val="Voetnootmarkering"/>
          <w:rFonts w:ascii="Century" w:hAnsi="Century"/>
          <w:sz w:val="20"/>
          <w:szCs w:val="20"/>
        </w:rPr>
        <w:footnoteReference w:id="8"/>
      </w:r>
    </w:p>
    <w:p w:rsidR="00CB3A4B" w:rsidRPr="002E6C72" w:rsidRDefault="00CB3A4B" w:rsidP="00CB3A4B">
      <w:pPr>
        <w:pStyle w:val="Lijstalinea"/>
        <w:numPr>
          <w:ilvl w:val="0"/>
          <w:numId w:val="2"/>
        </w:numPr>
        <w:jc w:val="both"/>
        <w:rPr>
          <w:rFonts w:ascii="Century" w:hAnsi="Century"/>
          <w:sz w:val="20"/>
          <w:szCs w:val="20"/>
        </w:rPr>
      </w:pPr>
      <w:r w:rsidRPr="002E6C72">
        <w:rPr>
          <w:rFonts w:ascii="Century" w:hAnsi="Century"/>
          <w:sz w:val="20"/>
          <w:szCs w:val="20"/>
        </w:rPr>
        <w:t xml:space="preserve">garanties voor de privacy bij </w:t>
      </w:r>
      <w:proofErr w:type="spellStart"/>
      <w:r w:rsidRPr="002E6C72">
        <w:rPr>
          <w:rFonts w:ascii="Century" w:hAnsi="Century"/>
          <w:sz w:val="20"/>
          <w:szCs w:val="20"/>
        </w:rPr>
        <w:t>surveys</w:t>
      </w:r>
      <w:proofErr w:type="spellEnd"/>
      <w:r w:rsidRPr="002E6C72">
        <w:rPr>
          <w:rStyle w:val="Voetnootmarkering"/>
          <w:rFonts w:ascii="Century" w:hAnsi="Century"/>
          <w:sz w:val="20"/>
          <w:szCs w:val="20"/>
        </w:rPr>
        <w:footnoteReference w:id="9"/>
      </w:r>
    </w:p>
    <w:p w:rsidR="00CB3A4B" w:rsidRPr="002E6C72" w:rsidRDefault="00CB3A4B" w:rsidP="00CB3A4B">
      <w:pPr>
        <w:jc w:val="both"/>
      </w:pPr>
    </w:p>
    <w:p w:rsidR="00CB3A4B" w:rsidRPr="002E6C72" w:rsidRDefault="00CB3A4B" w:rsidP="00CB3A4B">
      <w:pPr>
        <w:jc w:val="both"/>
      </w:pPr>
      <w:r w:rsidRPr="002E6C72">
        <w:t>Voor alle duidelijkheid: de rechtstreekse registratie van gegevens met betrekking tot afkomst, zogenaamd ras of huidskleur is voor het Minderhedenforum uit den boze. Het betekent een schending van een individueel grondrecht.</w:t>
      </w:r>
    </w:p>
    <w:p w:rsidR="00CB3A4B" w:rsidRPr="002E6C72" w:rsidRDefault="00CB3A4B" w:rsidP="00CB3A4B">
      <w:pPr>
        <w:rPr>
          <w:b/>
        </w:rPr>
      </w:pPr>
    </w:p>
    <w:p w:rsidR="00CB3A4B" w:rsidRPr="002E6C72" w:rsidRDefault="00CB3A4B" w:rsidP="00CB3A4B">
      <w:pPr>
        <w:pStyle w:val="Kop3"/>
      </w:pPr>
      <w:r w:rsidRPr="002E6C72">
        <w:t>C. Terminologie: hoe benoemen we?</w:t>
      </w:r>
    </w:p>
    <w:p w:rsidR="00CB3A4B" w:rsidRDefault="00AF20E6" w:rsidP="00CB3A4B">
      <w:r>
        <w:t xml:space="preserve">Naast de algemene </w:t>
      </w:r>
      <w:r w:rsidR="00CB3A4B" w:rsidRPr="002E6C72">
        <w:t xml:space="preserve">term </w:t>
      </w:r>
      <w:r>
        <w:t>‘etnisch-culturele minderheden</w:t>
      </w:r>
      <w:r w:rsidR="00566454">
        <w:t xml:space="preserve">’ hanteert het Minderhedenforum </w:t>
      </w:r>
      <w:r>
        <w:t xml:space="preserve">meer specifieke termen. </w:t>
      </w:r>
      <w:r w:rsidR="00566454">
        <w:t xml:space="preserve">Daarbij kiezen we voor de meest correcte en neutrale varianten. </w:t>
      </w:r>
      <w:r>
        <w:t>De term etnisch-culturele minderheden heeft zowel betrekking op</w:t>
      </w:r>
    </w:p>
    <w:p w:rsidR="00AF20E6" w:rsidRPr="002E6C72" w:rsidRDefault="00AF20E6" w:rsidP="00CB3A4B"/>
    <w:p w:rsidR="00AF20E6" w:rsidRDefault="00AF20E6" w:rsidP="00AF20E6">
      <w:pPr>
        <w:pStyle w:val="Lijstalinea"/>
        <w:numPr>
          <w:ilvl w:val="0"/>
          <w:numId w:val="3"/>
        </w:numPr>
      </w:pPr>
      <w:r>
        <w:rPr>
          <w:b/>
          <w:bCs/>
        </w:rPr>
        <w:t xml:space="preserve">Geografische </w:t>
      </w:r>
      <w:r w:rsidR="00CB3A4B" w:rsidRPr="00AF20E6">
        <w:rPr>
          <w:b/>
          <w:bCs/>
        </w:rPr>
        <w:t>achtergronden</w:t>
      </w:r>
      <w:r w:rsidRPr="00AF20E6">
        <w:t xml:space="preserve"> </w:t>
      </w:r>
    </w:p>
    <w:p w:rsidR="00AF20E6" w:rsidRDefault="00AF20E6" w:rsidP="00AF20E6"/>
    <w:p w:rsidR="00566454" w:rsidRDefault="00566454" w:rsidP="00AF20E6">
      <w:r>
        <w:t>‘</w:t>
      </w:r>
      <w:r w:rsidR="00AF20E6">
        <w:t>Migratieachtergrond</w:t>
      </w:r>
      <w:r>
        <w:t xml:space="preserve">’ of kortweg ‘achtergrond’ </w:t>
      </w:r>
    </w:p>
    <w:p w:rsidR="00AF20E6" w:rsidRDefault="00566454" w:rsidP="00AF20E6">
      <w:r>
        <w:t>‘H</w:t>
      </w:r>
      <w:r w:rsidR="00AF20E6">
        <w:t>erkomst</w:t>
      </w:r>
      <w:r>
        <w:t>’ of ‘</w:t>
      </w:r>
      <w:r w:rsidR="00AF20E6">
        <w:t>afkomst</w:t>
      </w:r>
      <w:r>
        <w:t>’</w:t>
      </w:r>
    </w:p>
    <w:p w:rsidR="00AF20E6" w:rsidRPr="00566454" w:rsidRDefault="00AF20E6" w:rsidP="00AF20E6">
      <w:r>
        <w:t>bv</w:t>
      </w:r>
    </w:p>
    <w:p w:rsidR="00AF20E6" w:rsidRPr="00566454" w:rsidRDefault="00AF20E6" w:rsidP="00AF20E6">
      <w:pPr>
        <w:pStyle w:val="Lijstalinea"/>
        <w:numPr>
          <w:ilvl w:val="0"/>
          <w:numId w:val="4"/>
        </w:numPr>
        <w:rPr>
          <w:rFonts w:ascii="Century" w:hAnsi="Century"/>
        </w:rPr>
      </w:pPr>
      <w:r w:rsidRPr="00566454">
        <w:rPr>
          <w:rFonts w:ascii="Century" w:hAnsi="Century"/>
        </w:rPr>
        <w:t xml:space="preserve">Belgen/Vlamingen met een Turkse achtergrond </w:t>
      </w:r>
    </w:p>
    <w:p w:rsidR="00AF20E6" w:rsidRPr="00566454" w:rsidRDefault="00AF20E6" w:rsidP="00AF20E6">
      <w:pPr>
        <w:pStyle w:val="Lijstalinea"/>
        <w:numPr>
          <w:ilvl w:val="0"/>
          <w:numId w:val="4"/>
        </w:numPr>
        <w:rPr>
          <w:rFonts w:ascii="Century" w:hAnsi="Century"/>
        </w:rPr>
      </w:pPr>
      <w:r w:rsidRPr="00566454">
        <w:rPr>
          <w:rFonts w:ascii="Century" w:hAnsi="Century"/>
        </w:rPr>
        <w:t>Met een niet-Europese migratieachtergrond</w:t>
      </w:r>
    </w:p>
    <w:p w:rsidR="00AF20E6" w:rsidRPr="00566454" w:rsidRDefault="00AF20E6" w:rsidP="00AF20E6">
      <w:pPr>
        <w:pStyle w:val="Lijstalinea"/>
        <w:numPr>
          <w:ilvl w:val="0"/>
          <w:numId w:val="4"/>
        </w:numPr>
        <w:rPr>
          <w:rFonts w:ascii="Century" w:hAnsi="Century"/>
        </w:rPr>
      </w:pPr>
      <w:r w:rsidRPr="00566454">
        <w:rPr>
          <w:rFonts w:ascii="Century" w:hAnsi="Century"/>
        </w:rPr>
        <w:t xml:space="preserve">Met een </w:t>
      </w:r>
      <w:proofErr w:type="spellStart"/>
      <w:r w:rsidRPr="00566454">
        <w:rPr>
          <w:rFonts w:ascii="Century" w:hAnsi="Century"/>
        </w:rPr>
        <w:t>zuid-Europese</w:t>
      </w:r>
      <w:proofErr w:type="spellEnd"/>
      <w:r w:rsidRPr="00566454">
        <w:rPr>
          <w:rFonts w:ascii="Century" w:hAnsi="Century"/>
        </w:rPr>
        <w:t xml:space="preserve"> migratieachtergrond</w:t>
      </w:r>
    </w:p>
    <w:p w:rsidR="00AF20E6" w:rsidRPr="00566454" w:rsidRDefault="00AF20E6" w:rsidP="00AF20E6">
      <w:pPr>
        <w:pStyle w:val="Lijstalinea"/>
        <w:numPr>
          <w:ilvl w:val="0"/>
          <w:numId w:val="4"/>
        </w:numPr>
        <w:rPr>
          <w:rFonts w:ascii="Century" w:hAnsi="Century"/>
        </w:rPr>
      </w:pPr>
      <w:r w:rsidRPr="00566454">
        <w:rPr>
          <w:rFonts w:ascii="Century" w:hAnsi="Century"/>
        </w:rPr>
        <w:t xml:space="preserve">met een </w:t>
      </w:r>
      <w:proofErr w:type="spellStart"/>
      <w:r w:rsidRPr="00566454">
        <w:rPr>
          <w:rFonts w:ascii="Century" w:hAnsi="Century"/>
        </w:rPr>
        <w:t>oost-Europese</w:t>
      </w:r>
      <w:proofErr w:type="spellEnd"/>
      <w:r w:rsidRPr="00566454">
        <w:rPr>
          <w:rFonts w:ascii="Century" w:hAnsi="Century"/>
        </w:rPr>
        <w:t xml:space="preserve"> herkomst</w:t>
      </w:r>
    </w:p>
    <w:p w:rsidR="00AF20E6" w:rsidRPr="00566454" w:rsidRDefault="00AF20E6" w:rsidP="00AF20E6">
      <w:pPr>
        <w:pStyle w:val="Lijstalinea"/>
        <w:numPr>
          <w:ilvl w:val="0"/>
          <w:numId w:val="4"/>
        </w:numPr>
        <w:rPr>
          <w:rFonts w:ascii="Century" w:hAnsi="Century"/>
        </w:rPr>
      </w:pPr>
      <w:r w:rsidRPr="00566454">
        <w:rPr>
          <w:rFonts w:ascii="Century" w:hAnsi="Century"/>
        </w:rPr>
        <w:t>Met een buitenlandse herkomst</w:t>
      </w:r>
    </w:p>
    <w:p w:rsidR="00AF20E6" w:rsidRPr="00566454" w:rsidRDefault="00AF20E6" w:rsidP="00AF20E6"/>
    <w:p w:rsidR="00AF20E6" w:rsidRDefault="00566454" w:rsidP="00AF20E6">
      <w:r>
        <w:t>Maar</w:t>
      </w:r>
      <w:r w:rsidR="00AF20E6">
        <w:t xml:space="preserve"> niet: </w:t>
      </w:r>
      <w:r w:rsidR="00AF20E6" w:rsidRPr="002E6C72">
        <w:t>Allochtoon</w:t>
      </w:r>
      <w:r w:rsidR="00AF20E6">
        <w:t xml:space="preserve">, </w:t>
      </w:r>
      <w:r w:rsidR="00AF20E6" w:rsidRPr="002E6C72">
        <w:t>Autochtoon</w:t>
      </w:r>
      <w:r w:rsidR="00AF20E6">
        <w:t xml:space="preserve">, van allochtone </w:t>
      </w:r>
      <w:r w:rsidR="00AF20E6" w:rsidRPr="002E6C72">
        <w:t>origine</w:t>
      </w:r>
      <w:r w:rsidR="00AF20E6">
        <w:t>, v</w:t>
      </w:r>
      <w:r w:rsidR="00AF20E6" w:rsidRPr="002E6C72">
        <w:t>an vreemde origine/herkomst</w:t>
      </w:r>
      <w:r w:rsidR="00AF20E6">
        <w:t>, v</w:t>
      </w:r>
      <w:r w:rsidR="00AF20E6" w:rsidRPr="002E6C72">
        <w:t>reemdeling</w:t>
      </w:r>
    </w:p>
    <w:p w:rsidR="00CB3A4B" w:rsidRDefault="00CB3A4B" w:rsidP="00CB3A4B">
      <w:pPr>
        <w:rPr>
          <w:rFonts w:eastAsiaTheme="minorHAnsi"/>
          <w:szCs w:val="20"/>
        </w:rPr>
      </w:pPr>
    </w:p>
    <w:p w:rsidR="00AF20E6" w:rsidRPr="002E6C72" w:rsidRDefault="00AF20E6" w:rsidP="00CB3A4B">
      <w:pPr>
        <w:rPr>
          <w:rFonts w:eastAsiaTheme="minorHAnsi"/>
          <w:szCs w:val="20"/>
        </w:rPr>
      </w:pPr>
    </w:p>
    <w:p w:rsidR="00CB3A4B" w:rsidRPr="002E6C72" w:rsidRDefault="00CB3A4B" w:rsidP="00CB3A4B">
      <w:pPr>
        <w:rPr>
          <w:b/>
          <w:bCs/>
        </w:rPr>
      </w:pPr>
      <w:r w:rsidRPr="002E6C72">
        <w:rPr>
          <w:b/>
          <w:bCs/>
        </w:rPr>
        <w:t xml:space="preserve">2. Verblijfsstatus en verblijfsduur </w:t>
      </w:r>
    </w:p>
    <w:p w:rsidR="00CB3A4B" w:rsidRDefault="00CB3A4B" w:rsidP="00CB3A4B"/>
    <w:p w:rsidR="00AF20E6" w:rsidRPr="002E6C72" w:rsidRDefault="009F224A" w:rsidP="00AF20E6">
      <w:r>
        <w:t>Termen als ‘</w:t>
      </w:r>
      <w:r w:rsidR="00AF20E6" w:rsidRPr="002E6C72">
        <w:t>zonder wettig verblijf</w:t>
      </w:r>
      <w:r>
        <w:t>’, n</w:t>
      </w:r>
      <w:r w:rsidR="00AF20E6" w:rsidRPr="002E6C72">
        <w:t>ieuwkomer</w:t>
      </w:r>
      <w:r>
        <w:t>, v</w:t>
      </w:r>
      <w:r w:rsidR="00AF20E6" w:rsidRPr="002E6C72">
        <w:t>luchteling</w:t>
      </w:r>
      <w:r>
        <w:t>, i</w:t>
      </w:r>
      <w:r w:rsidR="00AF20E6" w:rsidRPr="002E6C72">
        <w:t xml:space="preserve">nburgeraar, </w:t>
      </w:r>
      <w:r>
        <w:t>a</w:t>
      </w:r>
      <w:r w:rsidR="00AF20E6" w:rsidRPr="002E6C72">
        <w:t>sielzoeker</w:t>
      </w:r>
      <w:r>
        <w:t xml:space="preserve"> of m</w:t>
      </w:r>
      <w:r w:rsidR="00AF20E6" w:rsidRPr="002E6C72">
        <w:t xml:space="preserve">igrant </w:t>
      </w:r>
      <w:r>
        <w:t xml:space="preserve">zijn neutraal en objectiveerbaar, in tegenstelling tot bv. illegalen. De term migrant wordt vaak verkeerd gebruikt. De leden van het Minderhedenforum noemen zichzelf liever zelforganisatie </w:t>
      </w:r>
      <w:r w:rsidR="00AF20E6" w:rsidRPr="002E6C72">
        <w:t xml:space="preserve">of etnisch-culturele organisatie </w:t>
      </w:r>
      <w:r>
        <w:t>en niet migrantenorganisatie. De term n</w:t>
      </w:r>
      <w:r w:rsidRPr="002E6C72">
        <w:t>ieuwe Belg</w:t>
      </w:r>
      <w:r>
        <w:t xml:space="preserve"> wordt om dezelfde reden afgewezen door mensen die hier geboren en getogen zijn. </w:t>
      </w:r>
    </w:p>
    <w:p w:rsidR="00CB3A4B" w:rsidRPr="002E6C72" w:rsidRDefault="00CB3A4B" w:rsidP="00CB3A4B">
      <w:pPr>
        <w:rPr>
          <w:rFonts w:eastAsiaTheme="minorHAnsi"/>
          <w:szCs w:val="20"/>
        </w:rPr>
      </w:pPr>
    </w:p>
    <w:p w:rsidR="00CB3A4B" w:rsidRDefault="00CB3A4B" w:rsidP="00CB3A4B">
      <w:pPr>
        <w:rPr>
          <w:b/>
          <w:bCs/>
        </w:rPr>
      </w:pPr>
      <w:r w:rsidRPr="002E6C72">
        <w:rPr>
          <w:b/>
          <w:bCs/>
        </w:rPr>
        <w:t>3.</w:t>
      </w:r>
      <w:r w:rsidRPr="002E6C72">
        <w:t xml:space="preserve"> </w:t>
      </w:r>
      <w:r w:rsidRPr="002E6C72">
        <w:rPr>
          <w:b/>
          <w:bCs/>
        </w:rPr>
        <w:t>levensbeschouwing</w:t>
      </w:r>
    </w:p>
    <w:p w:rsidR="00AF20E6" w:rsidRDefault="00AF20E6" w:rsidP="00CB3A4B"/>
    <w:p w:rsidR="00AF20E6" w:rsidRDefault="009F224A" w:rsidP="00CB3A4B">
      <w:r>
        <w:t xml:space="preserve">Als dat relevant is in een bepaalde context, zal het Minderhedenforum mensen met een bepaald geloof (bv. </w:t>
      </w:r>
      <w:r w:rsidR="00566454">
        <w:t>moslim</w:t>
      </w:r>
      <w:r>
        <w:t>s</w:t>
      </w:r>
      <w:r w:rsidR="00566454">
        <w:t xml:space="preserve">, </w:t>
      </w:r>
      <w:r>
        <w:t xml:space="preserve">hindoes, </w:t>
      </w:r>
      <w:r w:rsidR="00566454">
        <w:t>protestant</w:t>
      </w:r>
      <w:r>
        <w:t>en</w:t>
      </w:r>
      <w:r w:rsidR="00566454">
        <w:t>, …</w:t>
      </w:r>
      <w:r>
        <w:t xml:space="preserve">) of levensbeschouwing (agnosten, atheïsten, vrijzinnigen, …) ook zo benoemen. </w:t>
      </w:r>
    </w:p>
    <w:p w:rsidR="00566454" w:rsidRDefault="00566454" w:rsidP="00CB3A4B">
      <w:pPr>
        <w:rPr>
          <w:b/>
          <w:bCs/>
        </w:rPr>
      </w:pPr>
    </w:p>
    <w:p w:rsidR="00CB3A4B" w:rsidRDefault="00CB3A4B" w:rsidP="00CB3A4B">
      <w:pPr>
        <w:rPr>
          <w:b/>
          <w:bCs/>
        </w:rPr>
      </w:pPr>
      <w:r w:rsidRPr="002E6C72">
        <w:rPr>
          <w:b/>
          <w:bCs/>
        </w:rPr>
        <w:t>4.</w:t>
      </w:r>
      <w:r w:rsidRPr="002E6C72">
        <w:t xml:space="preserve"> </w:t>
      </w:r>
      <w:r w:rsidR="00566454">
        <w:rPr>
          <w:b/>
          <w:bCs/>
        </w:rPr>
        <w:t>geen rassenterminologie</w:t>
      </w:r>
    </w:p>
    <w:p w:rsidR="00566454" w:rsidRDefault="00566454" w:rsidP="00CB3A4B"/>
    <w:p w:rsidR="00566454" w:rsidRDefault="00566454" w:rsidP="00566454">
      <w:r>
        <w:t xml:space="preserve">Gangbare raciaal getinte termen zoals zwarte, blanke of zigeuner vermijdt het Minderhedenforum (waar mogelijk) door het gebruik van neutrale termen als </w:t>
      </w:r>
      <w:r w:rsidR="000360E3">
        <w:t>Roma</w:t>
      </w:r>
      <w:r>
        <w:t xml:space="preserve"> of sub-</w:t>
      </w:r>
      <w:proofErr w:type="spellStart"/>
      <w:r>
        <w:t>saharaans</w:t>
      </w:r>
      <w:proofErr w:type="spellEnd"/>
      <w:r>
        <w:t>.</w:t>
      </w:r>
    </w:p>
    <w:p w:rsidR="004C7731" w:rsidRDefault="004C7731" w:rsidP="00566454">
      <w:pPr>
        <w:spacing w:after="200" w:line="276" w:lineRule="auto"/>
      </w:pPr>
    </w:p>
    <w:p w:rsidR="004C7731" w:rsidRPr="002E6C72" w:rsidRDefault="004C7731" w:rsidP="004C7731">
      <w:pPr>
        <w:pStyle w:val="Kop3"/>
      </w:pPr>
      <w:r w:rsidRPr="002E6C72">
        <w:t xml:space="preserve">C. </w:t>
      </w:r>
      <w:r>
        <w:t>Cijfers</w:t>
      </w:r>
      <w:r w:rsidRPr="002E6C72">
        <w:t xml:space="preserve">: </w:t>
      </w:r>
      <w:r w:rsidR="000B595D">
        <w:t>aantallen en percentages</w:t>
      </w:r>
    </w:p>
    <w:p w:rsidR="004C7731" w:rsidRDefault="004C7731" w:rsidP="004C7731"/>
    <w:p w:rsidR="00B53B02" w:rsidRDefault="000B595D" w:rsidP="004C7731">
      <w:pPr>
        <w:rPr>
          <w:lang w:val="nl-BE"/>
        </w:rPr>
      </w:pPr>
      <w:r>
        <w:t>Precieze</w:t>
      </w:r>
      <w:r w:rsidR="004C7731">
        <w:t xml:space="preserve"> cijfers over </w:t>
      </w:r>
      <w:r w:rsidR="00B53B02">
        <w:t>inwoners</w:t>
      </w:r>
      <w:r w:rsidR="004C7731">
        <w:t xml:space="preserve"> met een migratieachtergrond zijn nog steeds niet voorhanden in ons land</w:t>
      </w:r>
      <w:r w:rsidR="004C7731" w:rsidRPr="002E6C72">
        <w:t>.</w:t>
      </w:r>
      <w:r w:rsidR="004C7731">
        <w:t xml:space="preserve"> </w:t>
      </w:r>
      <w:r w:rsidR="00907CC4">
        <w:rPr>
          <w:lang w:val="nl-BE"/>
        </w:rPr>
        <w:t xml:space="preserve">Dat is een grote hinderpaal </w:t>
      </w:r>
      <w:r w:rsidR="00B53B02">
        <w:rPr>
          <w:lang w:val="nl-BE"/>
        </w:rPr>
        <w:t>voor elk</w:t>
      </w:r>
      <w:r w:rsidR="00907CC4">
        <w:rPr>
          <w:lang w:val="nl-BE"/>
        </w:rPr>
        <w:t xml:space="preserve"> diversiteitsbeleid, denk maar aan streefcijfers in personeelsbeleid of </w:t>
      </w:r>
      <w:r w:rsidR="00B53B02">
        <w:rPr>
          <w:lang w:val="nl-BE"/>
        </w:rPr>
        <w:t xml:space="preserve">het berekenen van </w:t>
      </w:r>
      <w:r w:rsidR="00907CC4">
        <w:rPr>
          <w:lang w:val="nl-BE"/>
        </w:rPr>
        <w:t>bereik</w:t>
      </w:r>
      <w:r w:rsidR="00B53B02">
        <w:rPr>
          <w:lang w:val="nl-BE"/>
        </w:rPr>
        <w:t>cijfers</w:t>
      </w:r>
      <w:r w:rsidR="00907CC4">
        <w:rPr>
          <w:lang w:val="nl-BE"/>
        </w:rPr>
        <w:t xml:space="preserve"> </w:t>
      </w:r>
      <w:r w:rsidR="00B53B02">
        <w:rPr>
          <w:lang w:val="nl-BE"/>
        </w:rPr>
        <w:t xml:space="preserve">voor </w:t>
      </w:r>
      <w:r w:rsidR="00907CC4">
        <w:rPr>
          <w:lang w:val="nl-BE"/>
        </w:rPr>
        <w:t xml:space="preserve">bepaalde maatregelen. </w:t>
      </w:r>
    </w:p>
    <w:p w:rsidR="00B53B02" w:rsidRDefault="00B53B02" w:rsidP="004C7731">
      <w:pPr>
        <w:rPr>
          <w:lang w:val="nl-BE"/>
        </w:rPr>
      </w:pPr>
    </w:p>
    <w:p w:rsidR="00B53B02" w:rsidRDefault="00907CC4" w:rsidP="004C7731">
      <w:pPr>
        <w:rPr>
          <w:lang w:val="nl-BE"/>
        </w:rPr>
      </w:pPr>
      <w:r>
        <w:rPr>
          <w:lang w:val="nl-BE"/>
        </w:rPr>
        <w:t xml:space="preserve">Om </w:t>
      </w:r>
      <w:r w:rsidR="00B53B02">
        <w:rPr>
          <w:lang w:val="nl-BE"/>
        </w:rPr>
        <w:t xml:space="preserve">die blinde vlek weg te werken gebruikt het Minderhedenforum </w:t>
      </w:r>
      <w:r>
        <w:rPr>
          <w:lang w:val="nl-BE"/>
        </w:rPr>
        <w:t xml:space="preserve">een optelsom van cijfers uit de Integratiemonitor van de </w:t>
      </w:r>
      <w:r w:rsidR="00B53B02">
        <w:rPr>
          <w:lang w:val="nl-BE"/>
        </w:rPr>
        <w:t>S</w:t>
      </w:r>
      <w:r>
        <w:rPr>
          <w:lang w:val="nl-BE"/>
        </w:rPr>
        <w:t>tudiedienst van de Vlaamse regering</w:t>
      </w:r>
      <w:r w:rsidR="00B53B02" w:rsidRPr="002743D1">
        <w:rPr>
          <w:rStyle w:val="Voetnootmarkering"/>
          <w:rFonts w:ascii="Arial" w:hAnsi="Arial" w:cs="Arial"/>
          <w:b/>
        </w:rPr>
        <w:footnoteReference w:id="10"/>
      </w:r>
      <w:r>
        <w:rPr>
          <w:lang w:val="nl-BE"/>
        </w:rPr>
        <w:t xml:space="preserve">. De cijfers voor </w:t>
      </w:r>
      <w:r>
        <w:t xml:space="preserve">vreemde (sic) herkomst </w:t>
      </w:r>
      <w:r>
        <w:rPr>
          <w:lang w:val="nl-BE"/>
        </w:rPr>
        <w:t>uit d</w:t>
      </w:r>
      <w:r w:rsidR="00B53B02">
        <w:rPr>
          <w:lang w:val="nl-BE"/>
        </w:rPr>
        <w:t>i</w:t>
      </w:r>
      <w:r>
        <w:rPr>
          <w:lang w:val="nl-BE"/>
        </w:rPr>
        <w:t xml:space="preserve">e Integratiemonitor komen aardig in de buurt van de realiteit. Ze zijn immers </w:t>
      </w:r>
      <w:r w:rsidR="004C7731">
        <w:rPr>
          <w:lang w:val="nl-BE"/>
        </w:rPr>
        <w:t xml:space="preserve">berekend op basis van de (oudste) nationaliteit van inwoners van het Vlaams Gewest en de (oudste) nationaliteit van de moeder. </w:t>
      </w:r>
    </w:p>
    <w:p w:rsidR="00B53B02" w:rsidRDefault="00B53B02" w:rsidP="004C7731">
      <w:pPr>
        <w:rPr>
          <w:lang w:val="nl-BE"/>
        </w:rPr>
      </w:pPr>
    </w:p>
    <w:p w:rsidR="004C7731" w:rsidRDefault="00B53B02" w:rsidP="004C7731">
      <w:pPr>
        <w:rPr>
          <w:lang w:val="nl-BE"/>
        </w:rPr>
      </w:pPr>
      <w:r>
        <w:rPr>
          <w:lang w:val="nl-BE"/>
        </w:rPr>
        <w:t xml:space="preserve">De cijfers uit de Integratiemonitor </w:t>
      </w:r>
      <w:r w:rsidR="004C7731">
        <w:rPr>
          <w:lang w:val="nl-BE"/>
        </w:rPr>
        <w:t>zijn</w:t>
      </w:r>
      <w:r w:rsidR="00907CC4">
        <w:rPr>
          <w:lang w:val="nl-BE"/>
        </w:rPr>
        <w:t xml:space="preserve"> echter </w:t>
      </w:r>
      <w:r w:rsidR="004C7731">
        <w:rPr>
          <w:lang w:val="nl-BE"/>
        </w:rPr>
        <w:t xml:space="preserve">onvolledig omdat de link met de ouders gelegd wordt via het ouderlijk huis en </w:t>
      </w:r>
      <w:r>
        <w:rPr>
          <w:lang w:val="nl-BE"/>
        </w:rPr>
        <w:t xml:space="preserve">enkel </w:t>
      </w:r>
      <w:r w:rsidR="004C7731">
        <w:rPr>
          <w:lang w:val="nl-BE"/>
        </w:rPr>
        <w:t>langs moederskant. Niet inbegrepen</w:t>
      </w:r>
      <w:r w:rsidR="000B595D">
        <w:rPr>
          <w:lang w:val="nl-BE"/>
        </w:rPr>
        <w:t xml:space="preserve"> zijn</w:t>
      </w:r>
      <w:r w:rsidR="004C7731">
        <w:rPr>
          <w:lang w:val="nl-BE"/>
        </w:rPr>
        <w:t xml:space="preserve">: personen die voor 2004 het ouderlijk huis verlieten en personen met een Belgische moeder en een niet-Belgische vader. Ook personen in het wachtregister (asielzoekers) en mensen zonder </w:t>
      </w:r>
      <w:r>
        <w:rPr>
          <w:lang w:val="nl-BE"/>
        </w:rPr>
        <w:t>wettig verblijf</w:t>
      </w:r>
      <w:r w:rsidR="004C7731">
        <w:rPr>
          <w:lang w:val="nl-BE"/>
        </w:rPr>
        <w:t xml:space="preserve"> zijn niet inbegrepen. </w:t>
      </w:r>
    </w:p>
    <w:p w:rsidR="000B595D" w:rsidRDefault="000B595D" w:rsidP="004C7731">
      <w:pPr>
        <w:rPr>
          <w:lang w:val="nl-BE"/>
        </w:rPr>
      </w:pPr>
    </w:p>
    <w:p w:rsidR="004C7731" w:rsidRPr="002743D1" w:rsidRDefault="00907CC4" w:rsidP="004C7731">
      <w:r>
        <w:rPr>
          <w:lang w:val="nl-BE"/>
        </w:rPr>
        <w:t xml:space="preserve">In onderstaande tabel zijn de cijfers uit de Integratiemonitor omgerekend naar </w:t>
      </w:r>
      <w:r w:rsidR="00B53B02">
        <w:rPr>
          <w:lang w:val="nl-BE"/>
        </w:rPr>
        <w:t xml:space="preserve">de eigen </w:t>
      </w:r>
      <w:r>
        <w:t xml:space="preserve">terminologie. </w:t>
      </w:r>
      <w:r w:rsidR="004C7731">
        <w:rPr>
          <w:lang w:val="nl-BE"/>
        </w:rPr>
        <w:t xml:space="preserve">Het cijfer </w:t>
      </w:r>
      <w:r>
        <w:rPr>
          <w:lang w:val="nl-BE"/>
        </w:rPr>
        <w:t xml:space="preserve">voor ‘inwoners met een </w:t>
      </w:r>
      <w:r w:rsidR="004C7731">
        <w:rPr>
          <w:lang w:val="nl-BE"/>
        </w:rPr>
        <w:t xml:space="preserve">niet-Europese </w:t>
      </w:r>
      <w:r>
        <w:rPr>
          <w:lang w:val="nl-BE"/>
        </w:rPr>
        <w:t xml:space="preserve">achtergrond’ </w:t>
      </w:r>
      <w:r w:rsidR="004C7731">
        <w:rPr>
          <w:lang w:val="nl-BE"/>
        </w:rPr>
        <w:t xml:space="preserve">is </w:t>
      </w:r>
      <w:r>
        <w:rPr>
          <w:lang w:val="nl-BE"/>
        </w:rPr>
        <w:t xml:space="preserve">in feite </w:t>
      </w:r>
      <w:r w:rsidR="004C7731">
        <w:rPr>
          <w:lang w:val="nl-BE"/>
        </w:rPr>
        <w:t xml:space="preserve">de som van de </w:t>
      </w:r>
      <w:r>
        <w:rPr>
          <w:lang w:val="nl-BE"/>
        </w:rPr>
        <w:t>herkomst</w:t>
      </w:r>
      <w:r w:rsidR="004C7731">
        <w:rPr>
          <w:lang w:val="nl-BE"/>
        </w:rPr>
        <w:t xml:space="preserve">cijfers </w:t>
      </w:r>
      <w:r>
        <w:rPr>
          <w:lang w:val="nl-BE"/>
        </w:rPr>
        <w:t xml:space="preserve">in de Integratiemonitor </w:t>
      </w:r>
      <w:r w:rsidR="004C7731">
        <w:rPr>
          <w:lang w:val="nl-BE"/>
        </w:rPr>
        <w:t>voor Marokko, Turkije, Oost-Europa niet-EU en ‘ander land’</w:t>
      </w:r>
      <w:r w:rsidR="00B53B02">
        <w:rPr>
          <w:lang w:val="nl-BE"/>
        </w:rPr>
        <w:t>.</w:t>
      </w:r>
      <w:r w:rsidR="004C7731">
        <w:rPr>
          <w:lang w:val="nl-BE"/>
        </w:rPr>
        <w:t xml:space="preserve"> </w:t>
      </w:r>
    </w:p>
    <w:p w:rsidR="00A03BC6" w:rsidRDefault="00A03BC6">
      <w:pPr>
        <w:spacing w:after="200" w:line="276" w:lineRule="auto"/>
      </w:pPr>
      <w:r>
        <w:br w:type="page"/>
      </w:r>
    </w:p>
    <w:p w:rsidR="004C7731" w:rsidRDefault="004C7731" w:rsidP="00566454">
      <w:pPr>
        <w:spacing w:after="200" w:line="276" w:lineRule="auto"/>
      </w:pPr>
    </w:p>
    <w:p w:rsidR="008D5DE1" w:rsidRDefault="00B53B02" w:rsidP="008D5DE1">
      <w:pPr>
        <w:pStyle w:val="Kop3"/>
        <w:rPr>
          <w:u w:val="single"/>
          <w:lang w:val="nl-BE"/>
        </w:rPr>
      </w:pPr>
      <w:r>
        <w:rPr>
          <w:u w:val="single"/>
          <w:lang w:val="nl-BE"/>
        </w:rPr>
        <w:t>Tabel</w:t>
      </w:r>
      <w:r w:rsidR="008D5DE1" w:rsidRPr="002743D1">
        <w:rPr>
          <w:u w:val="single"/>
          <w:lang w:val="nl-BE"/>
        </w:rPr>
        <w:t xml:space="preserve">: </w:t>
      </w:r>
      <w:r w:rsidR="008D5DE1">
        <w:rPr>
          <w:u w:val="single"/>
          <w:lang w:val="nl-BE"/>
        </w:rPr>
        <w:t>Vlaamse steden</w:t>
      </w:r>
      <w:r w:rsidR="008D5DE1" w:rsidRPr="002743D1">
        <w:rPr>
          <w:u w:val="single"/>
          <w:lang w:val="nl-BE"/>
        </w:rPr>
        <w:t xml:space="preserve"> </w:t>
      </w:r>
      <w:r w:rsidR="008D5DE1">
        <w:rPr>
          <w:u w:val="single"/>
          <w:lang w:val="nl-BE"/>
        </w:rPr>
        <w:t>met grootste contingent burgers met</w:t>
      </w:r>
      <w:r w:rsidR="008D5DE1" w:rsidRPr="002743D1">
        <w:rPr>
          <w:u w:val="single"/>
          <w:lang w:val="nl-BE"/>
        </w:rPr>
        <w:t xml:space="preserve"> </w:t>
      </w:r>
      <w:r w:rsidR="008D5DE1">
        <w:rPr>
          <w:u w:val="single"/>
          <w:lang w:val="nl-BE"/>
        </w:rPr>
        <w:t xml:space="preserve">niet-Belgische </w:t>
      </w:r>
      <w:r w:rsidR="008D5DE1" w:rsidRPr="002743D1">
        <w:rPr>
          <w:u w:val="single"/>
          <w:lang w:val="nl-BE"/>
        </w:rPr>
        <w:t>migratieachtergrond in 2011</w:t>
      </w:r>
    </w:p>
    <w:p w:rsidR="008D5DE1" w:rsidRDefault="008D5DE1" w:rsidP="008D5DE1">
      <w:pPr>
        <w:rPr>
          <w:lang w:val="nl-BE"/>
        </w:rPr>
      </w:pPr>
      <w:bookmarkStart w:id="0" w:name="_GoBack"/>
      <w:bookmarkEnd w:id="0"/>
    </w:p>
    <w:p w:rsidR="00B53B02" w:rsidRDefault="008D5DE1" w:rsidP="008D5DE1">
      <w:pPr>
        <w:rPr>
          <w:lang w:val="nl-BE"/>
        </w:rPr>
      </w:pPr>
      <w:r>
        <w:rPr>
          <w:lang w:val="nl-BE"/>
        </w:rPr>
        <w:t>Gegevens op basis van cijfers Lokale Integratiemonitor (</w:t>
      </w:r>
      <w:r w:rsidR="00B53B02">
        <w:rPr>
          <w:lang w:val="nl-BE"/>
        </w:rPr>
        <w:t>Op basis van b</w:t>
      </w:r>
      <w:r>
        <w:rPr>
          <w:lang w:val="nl-BE"/>
        </w:rPr>
        <w:t>evolking met “vreemde” herkomst</w:t>
      </w:r>
      <w:r w:rsidRPr="002743D1">
        <w:rPr>
          <w:rStyle w:val="Voetnootmarkering"/>
          <w:rFonts w:ascii="Arial" w:hAnsi="Arial" w:cs="Arial"/>
          <w:b/>
        </w:rPr>
        <w:footnoteReference w:id="11"/>
      </w:r>
      <w:r w:rsidR="00B53B02">
        <w:rPr>
          <w:lang w:val="nl-BE"/>
        </w:rPr>
        <w:t xml:space="preserve"> - omzetting van cijfers naar andere termen)</w:t>
      </w:r>
    </w:p>
    <w:p w:rsidR="008D5DE1" w:rsidRPr="00F877BF" w:rsidRDefault="008D5DE1" w:rsidP="008D5DE1"/>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2610"/>
        <w:gridCol w:w="2654"/>
        <w:gridCol w:w="2859"/>
      </w:tblGrid>
      <w:tr w:rsidR="00A03BC6" w:rsidRPr="00A03BC6" w:rsidTr="00A03BC6">
        <w:trPr>
          <w:trHeight w:val="314"/>
        </w:trPr>
        <w:tc>
          <w:tcPr>
            <w:tcW w:w="0" w:type="auto"/>
            <w:shd w:val="clear" w:color="auto" w:fill="auto"/>
            <w:hideMark/>
          </w:tcPr>
          <w:p w:rsidR="00A03BC6" w:rsidRPr="00A03BC6" w:rsidRDefault="00A03BC6" w:rsidP="006A094D">
            <w:pPr>
              <w:rPr>
                <w:rFonts w:ascii="Arial" w:hAnsi="Arial" w:cs="Arial"/>
                <w:b/>
                <w:color w:val="000000"/>
                <w:sz w:val="18"/>
                <w:szCs w:val="18"/>
                <w:lang w:val="nl-BE" w:eastAsia="nl-BE"/>
              </w:rPr>
            </w:pPr>
            <w:r w:rsidRPr="00A03BC6">
              <w:rPr>
                <w:rFonts w:ascii="Arial" w:hAnsi="Arial" w:cs="Arial"/>
                <w:b/>
                <w:color w:val="000000"/>
                <w:sz w:val="18"/>
                <w:szCs w:val="18"/>
                <w:lang w:val="nl-BE" w:eastAsia="nl-BE"/>
              </w:rPr>
              <w:t>Inwoners</w:t>
            </w:r>
          </w:p>
        </w:tc>
        <w:tc>
          <w:tcPr>
            <w:tcW w:w="0" w:type="auto"/>
            <w:shd w:val="clear" w:color="000000" w:fill="auto"/>
            <w:noWrap/>
            <w:vAlign w:val="center"/>
            <w:hideMark/>
          </w:tcPr>
          <w:p w:rsidR="00A03BC6" w:rsidRPr="00A03BC6" w:rsidRDefault="00A03BC6" w:rsidP="006A094D">
            <w:pPr>
              <w:jc w:val="right"/>
              <w:rPr>
                <w:rFonts w:ascii="Arial" w:hAnsi="Arial" w:cs="Arial"/>
                <w:b/>
                <w:color w:val="000000"/>
                <w:sz w:val="18"/>
                <w:szCs w:val="18"/>
                <w:lang w:val="nl-BE" w:eastAsia="nl-BE"/>
              </w:rPr>
            </w:pPr>
            <w:r w:rsidRPr="00A03BC6">
              <w:rPr>
                <w:rFonts w:ascii="Arial" w:hAnsi="Arial" w:cs="Arial"/>
                <w:b/>
                <w:color w:val="000000"/>
                <w:sz w:val="18"/>
                <w:szCs w:val="18"/>
                <w:lang w:val="nl-BE" w:eastAsia="nl-BE"/>
              </w:rPr>
              <w:t>met niet-Europese migratieachtergrond</w:t>
            </w:r>
          </w:p>
        </w:tc>
        <w:tc>
          <w:tcPr>
            <w:tcW w:w="0" w:type="auto"/>
            <w:shd w:val="clear" w:color="000000" w:fill="auto"/>
            <w:noWrap/>
            <w:vAlign w:val="center"/>
          </w:tcPr>
          <w:p w:rsidR="00A03BC6" w:rsidRPr="00A03BC6" w:rsidRDefault="00A03BC6" w:rsidP="006A094D">
            <w:pPr>
              <w:jc w:val="right"/>
              <w:rPr>
                <w:rFonts w:ascii="Arial" w:hAnsi="Arial" w:cs="Arial"/>
                <w:b/>
                <w:color w:val="000000"/>
                <w:sz w:val="18"/>
                <w:szCs w:val="18"/>
                <w:lang w:val="nl-BE" w:eastAsia="nl-BE"/>
              </w:rPr>
            </w:pPr>
            <w:r w:rsidRPr="00A03BC6">
              <w:rPr>
                <w:rFonts w:ascii="Arial" w:hAnsi="Arial" w:cs="Arial"/>
                <w:b/>
                <w:color w:val="000000"/>
                <w:sz w:val="18"/>
                <w:szCs w:val="18"/>
                <w:lang w:val="nl-BE" w:eastAsia="nl-BE"/>
              </w:rPr>
              <w:t>met Zuid-Europese migratieachtergrond</w:t>
            </w:r>
          </w:p>
        </w:tc>
        <w:tc>
          <w:tcPr>
            <w:tcW w:w="0" w:type="auto"/>
            <w:shd w:val="clear" w:color="000000" w:fill="auto"/>
            <w:noWrap/>
            <w:vAlign w:val="center"/>
          </w:tcPr>
          <w:p w:rsidR="00A03BC6" w:rsidRPr="00A03BC6" w:rsidRDefault="00A03BC6" w:rsidP="00A03BC6">
            <w:pPr>
              <w:jc w:val="center"/>
              <w:rPr>
                <w:rFonts w:ascii="Arial" w:hAnsi="Arial" w:cs="Arial"/>
                <w:b/>
                <w:color w:val="000000"/>
                <w:sz w:val="18"/>
                <w:szCs w:val="18"/>
                <w:lang w:val="nl-BE" w:eastAsia="nl-BE"/>
              </w:rPr>
            </w:pPr>
            <w:r w:rsidRPr="00A03BC6">
              <w:rPr>
                <w:rFonts w:ascii="Arial" w:hAnsi="Arial" w:cs="Arial"/>
                <w:b/>
                <w:color w:val="000000"/>
                <w:sz w:val="18"/>
                <w:szCs w:val="18"/>
                <w:lang w:val="nl-BE" w:eastAsia="nl-BE"/>
              </w:rPr>
              <w:t>met migratieachtergrond EU – Oost-Europa</w:t>
            </w:r>
          </w:p>
        </w:tc>
      </w:tr>
      <w:tr w:rsidR="00A03BC6" w:rsidRPr="00C85E95" w:rsidTr="00067BE4">
        <w:trPr>
          <w:trHeight w:val="314"/>
        </w:trPr>
        <w:tc>
          <w:tcPr>
            <w:tcW w:w="0" w:type="auto"/>
            <w:shd w:val="clear" w:color="auto" w:fill="auto"/>
            <w:hideMark/>
          </w:tcPr>
          <w:p w:rsidR="00A03BC6" w:rsidRPr="00C85E95" w:rsidRDefault="00A03BC6" w:rsidP="00067BE4">
            <w:pPr>
              <w:rPr>
                <w:rFonts w:ascii="Arial" w:hAnsi="Arial" w:cs="Arial"/>
                <w:color w:val="000000"/>
                <w:sz w:val="18"/>
                <w:szCs w:val="18"/>
                <w:lang w:val="nl-BE" w:eastAsia="nl-BE"/>
              </w:rPr>
            </w:pPr>
            <w:r w:rsidRPr="00C85E95">
              <w:rPr>
                <w:rFonts w:ascii="Arial" w:hAnsi="Arial" w:cs="Arial"/>
                <w:color w:val="000000"/>
                <w:sz w:val="18"/>
                <w:szCs w:val="18"/>
                <w:lang w:val="nl-BE" w:eastAsia="nl-BE"/>
              </w:rPr>
              <w:t>Antwerpen</w:t>
            </w:r>
          </w:p>
        </w:tc>
        <w:tc>
          <w:tcPr>
            <w:tcW w:w="0" w:type="auto"/>
            <w:shd w:val="clear" w:color="000000" w:fill="auto"/>
            <w:noWrap/>
            <w:vAlign w:val="center"/>
            <w:hideMark/>
          </w:tcPr>
          <w:p w:rsidR="00A03BC6" w:rsidRPr="00A03BC6" w:rsidRDefault="00A03BC6" w:rsidP="00067BE4">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27,17%</w:t>
            </w:r>
          </w:p>
        </w:tc>
        <w:tc>
          <w:tcPr>
            <w:tcW w:w="0" w:type="auto"/>
            <w:shd w:val="clear" w:color="000000" w:fill="auto"/>
            <w:noWrap/>
            <w:vAlign w:val="center"/>
            <w:hideMark/>
          </w:tcPr>
          <w:p w:rsidR="00A03BC6" w:rsidRPr="00A03BC6" w:rsidRDefault="00A03BC6" w:rsidP="00067BE4">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1,81%</w:t>
            </w:r>
          </w:p>
        </w:tc>
        <w:tc>
          <w:tcPr>
            <w:tcW w:w="0" w:type="auto"/>
            <w:shd w:val="clear" w:color="000000" w:fill="auto"/>
            <w:noWrap/>
            <w:vAlign w:val="center"/>
            <w:hideMark/>
          </w:tcPr>
          <w:p w:rsidR="00A03BC6" w:rsidRPr="00A03BC6" w:rsidRDefault="00A03BC6" w:rsidP="00067BE4">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2,75%</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Gent</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17,81%</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0,88%</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3,99%</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Mechelen</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21,16%</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0,90%</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0,74%</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Genk</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23,74%</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16,91%</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2,83%</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Leuven</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14,78%</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2,29%</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2,36%</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Vilvoorde</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25,92%</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6,73%</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1,83%</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Beringen</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18,83%</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3,74%</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1,27%</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Sint-Niklaas</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13,08%</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0,45%</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0,71%</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r w:rsidRPr="00C85E95">
              <w:rPr>
                <w:rFonts w:ascii="Arial" w:hAnsi="Arial" w:cs="Arial"/>
                <w:color w:val="000000"/>
                <w:sz w:val="18"/>
                <w:szCs w:val="18"/>
                <w:lang w:val="nl-BE" w:eastAsia="nl-BE"/>
              </w:rPr>
              <w:t>Aalst</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9,63%</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0,71%</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0,76%</w:t>
            </w:r>
          </w:p>
        </w:tc>
      </w:tr>
      <w:tr w:rsidR="00A03BC6" w:rsidRPr="00C85E95" w:rsidTr="00A03BC6">
        <w:trPr>
          <w:trHeight w:val="314"/>
        </w:trPr>
        <w:tc>
          <w:tcPr>
            <w:tcW w:w="0" w:type="auto"/>
            <w:shd w:val="clear" w:color="auto" w:fill="auto"/>
            <w:hideMark/>
          </w:tcPr>
          <w:p w:rsidR="00A03BC6" w:rsidRPr="00C85E95" w:rsidRDefault="00A03BC6" w:rsidP="00AF20E6">
            <w:pPr>
              <w:rPr>
                <w:rFonts w:ascii="Arial" w:hAnsi="Arial" w:cs="Arial"/>
                <w:color w:val="000000"/>
                <w:sz w:val="18"/>
                <w:szCs w:val="18"/>
                <w:lang w:val="nl-BE" w:eastAsia="nl-BE"/>
              </w:rPr>
            </w:pPr>
            <w:proofErr w:type="spellStart"/>
            <w:r w:rsidRPr="00C85E95">
              <w:rPr>
                <w:rFonts w:ascii="Arial" w:hAnsi="Arial" w:cs="Arial"/>
                <w:color w:val="000000"/>
                <w:sz w:val="18"/>
                <w:szCs w:val="18"/>
                <w:lang w:val="nl-BE" w:eastAsia="nl-BE"/>
              </w:rPr>
              <w:t>Maasmechelen</w:t>
            </w:r>
            <w:proofErr w:type="spellEnd"/>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18,27%</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16,07%</w:t>
            </w:r>
          </w:p>
        </w:tc>
        <w:tc>
          <w:tcPr>
            <w:tcW w:w="0" w:type="auto"/>
            <w:shd w:val="clear" w:color="000000" w:fill="auto"/>
            <w:noWrap/>
            <w:vAlign w:val="center"/>
            <w:hideMark/>
          </w:tcPr>
          <w:p w:rsidR="00A03BC6" w:rsidRPr="00A03BC6" w:rsidRDefault="00A03BC6" w:rsidP="00AF20E6">
            <w:pPr>
              <w:jc w:val="right"/>
              <w:rPr>
                <w:rFonts w:ascii="Arial" w:hAnsi="Arial" w:cs="Arial"/>
                <w:color w:val="000000"/>
                <w:sz w:val="18"/>
                <w:szCs w:val="18"/>
                <w:lang w:val="nl-BE" w:eastAsia="nl-BE"/>
              </w:rPr>
            </w:pPr>
            <w:r w:rsidRPr="00A03BC6">
              <w:rPr>
                <w:rFonts w:ascii="Arial" w:hAnsi="Arial" w:cs="Arial"/>
                <w:color w:val="000000"/>
                <w:sz w:val="18"/>
                <w:szCs w:val="18"/>
                <w:lang w:val="nl-BE" w:eastAsia="nl-BE"/>
              </w:rPr>
              <w:t>2,87%</w:t>
            </w:r>
          </w:p>
        </w:tc>
      </w:tr>
      <w:tr w:rsidR="000755D8" w:rsidRPr="000755D8" w:rsidTr="00DB570E">
        <w:trPr>
          <w:trHeight w:val="314"/>
        </w:trPr>
        <w:tc>
          <w:tcPr>
            <w:tcW w:w="0" w:type="auto"/>
            <w:shd w:val="clear" w:color="auto" w:fill="auto"/>
          </w:tcPr>
          <w:p w:rsidR="000755D8" w:rsidRPr="000755D8" w:rsidRDefault="000755D8" w:rsidP="00AF20E6">
            <w:pPr>
              <w:rPr>
                <w:rFonts w:ascii="Arial" w:hAnsi="Arial" w:cs="Arial"/>
                <w:b/>
                <w:color w:val="000000"/>
                <w:sz w:val="18"/>
                <w:szCs w:val="18"/>
                <w:lang w:val="nl-BE" w:eastAsia="nl-BE"/>
              </w:rPr>
            </w:pPr>
            <w:r w:rsidRPr="000755D8">
              <w:rPr>
                <w:rFonts w:ascii="Arial" w:hAnsi="Arial" w:cs="Arial"/>
                <w:b/>
                <w:color w:val="000000"/>
                <w:sz w:val="18"/>
                <w:szCs w:val="18"/>
                <w:lang w:val="nl-BE" w:eastAsia="nl-BE"/>
              </w:rPr>
              <w:t>Vlaams Gewest</w:t>
            </w:r>
          </w:p>
        </w:tc>
        <w:tc>
          <w:tcPr>
            <w:tcW w:w="0" w:type="auto"/>
            <w:shd w:val="clear" w:color="000000" w:fill="auto"/>
            <w:noWrap/>
            <w:vAlign w:val="bottom"/>
          </w:tcPr>
          <w:p w:rsidR="000755D8" w:rsidRPr="000755D8" w:rsidRDefault="000755D8">
            <w:pPr>
              <w:jc w:val="right"/>
              <w:rPr>
                <w:rFonts w:ascii="Calibri" w:hAnsi="Calibri"/>
                <w:b/>
                <w:color w:val="000000"/>
                <w:sz w:val="22"/>
                <w:szCs w:val="22"/>
              </w:rPr>
            </w:pPr>
            <w:r w:rsidRPr="000755D8">
              <w:rPr>
                <w:rFonts w:ascii="Calibri" w:hAnsi="Calibri"/>
                <w:b/>
                <w:color w:val="000000"/>
                <w:sz w:val="22"/>
                <w:szCs w:val="22"/>
              </w:rPr>
              <w:t>7,62%</w:t>
            </w:r>
          </w:p>
        </w:tc>
        <w:tc>
          <w:tcPr>
            <w:tcW w:w="0" w:type="auto"/>
            <w:shd w:val="clear" w:color="000000" w:fill="auto"/>
            <w:noWrap/>
            <w:vAlign w:val="bottom"/>
          </w:tcPr>
          <w:p w:rsidR="000755D8" w:rsidRPr="000755D8" w:rsidRDefault="000755D8">
            <w:pPr>
              <w:jc w:val="right"/>
              <w:rPr>
                <w:rFonts w:ascii="Calibri" w:hAnsi="Calibri"/>
                <w:b/>
                <w:color w:val="000000"/>
                <w:sz w:val="22"/>
                <w:szCs w:val="22"/>
              </w:rPr>
            </w:pPr>
            <w:r w:rsidRPr="000755D8">
              <w:rPr>
                <w:rFonts w:ascii="Calibri" w:hAnsi="Calibri"/>
                <w:b/>
                <w:color w:val="000000"/>
                <w:sz w:val="22"/>
                <w:szCs w:val="22"/>
              </w:rPr>
              <w:t>1,41%</w:t>
            </w:r>
          </w:p>
        </w:tc>
        <w:tc>
          <w:tcPr>
            <w:tcW w:w="0" w:type="auto"/>
            <w:shd w:val="clear" w:color="000000" w:fill="auto"/>
            <w:noWrap/>
            <w:vAlign w:val="bottom"/>
          </w:tcPr>
          <w:p w:rsidR="000755D8" w:rsidRPr="000755D8" w:rsidRDefault="000755D8">
            <w:pPr>
              <w:jc w:val="right"/>
              <w:rPr>
                <w:rFonts w:ascii="Calibri" w:hAnsi="Calibri"/>
                <w:b/>
                <w:color w:val="000000"/>
                <w:sz w:val="22"/>
                <w:szCs w:val="22"/>
              </w:rPr>
            </w:pPr>
            <w:r w:rsidRPr="000755D8">
              <w:rPr>
                <w:rFonts w:ascii="Calibri" w:hAnsi="Calibri"/>
                <w:b/>
                <w:color w:val="000000"/>
                <w:sz w:val="22"/>
                <w:szCs w:val="22"/>
              </w:rPr>
              <w:t>1,09%</w:t>
            </w:r>
          </w:p>
        </w:tc>
      </w:tr>
    </w:tbl>
    <w:p w:rsidR="008D5DE1" w:rsidRPr="000755D8" w:rsidRDefault="008D5DE1" w:rsidP="008D5DE1">
      <w:pPr>
        <w:rPr>
          <w:b/>
          <w:lang w:val="nl-BE"/>
        </w:rPr>
      </w:pPr>
    </w:p>
    <w:p w:rsidR="00CB3A4B" w:rsidRDefault="00CB3A4B" w:rsidP="00CB3A4B"/>
    <w:sectPr w:rsidR="00CB3A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C4" w:rsidRDefault="00907CC4" w:rsidP="00CB3A4B">
      <w:r>
        <w:separator/>
      </w:r>
    </w:p>
  </w:endnote>
  <w:endnote w:type="continuationSeparator" w:id="0">
    <w:p w:rsidR="00907CC4" w:rsidRDefault="00907CC4" w:rsidP="00CB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C4" w:rsidRDefault="00907CC4" w:rsidP="00CB3A4B">
      <w:r>
        <w:separator/>
      </w:r>
    </w:p>
  </w:footnote>
  <w:footnote w:type="continuationSeparator" w:id="0">
    <w:p w:rsidR="00907CC4" w:rsidRDefault="00907CC4" w:rsidP="00CB3A4B">
      <w:r>
        <w:continuationSeparator/>
      </w:r>
    </w:p>
  </w:footnote>
  <w:footnote w:id="1">
    <w:p w:rsidR="00907CC4" w:rsidRPr="009D1ABE" w:rsidRDefault="00907CC4" w:rsidP="00CB3A4B">
      <w:pPr>
        <w:pStyle w:val="Voetnoottekst"/>
      </w:pPr>
      <w:r>
        <w:rPr>
          <w:rStyle w:val="Voetnootmarkering"/>
        </w:rPr>
        <w:footnoteRef/>
      </w:r>
      <w:r>
        <w:t xml:space="preserve"> Buiten de EU27</w:t>
      </w:r>
    </w:p>
  </w:footnote>
  <w:footnote w:id="2">
    <w:p w:rsidR="00907CC4" w:rsidRPr="009D1ABE" w:rsidRDefault="00907CC4" w:rsidP="00CB3A4B">
      <w:pPr>
        <w:pStyle w:val="Voetnoottekst"/>
      </w:pPr>
      <w:r>
        <w:rPr>
          <w:rStyle w:val="Voetnootmarkering"/>
        </w:rPr>
        <w:footnoteRef/>
      </w:r>
      <w:r>
        <w:t xml:space="preserve"> Zuid-Europa: Italië, Spanje, Portugal, Griekenland, Malta, Cyprus, Andorra, Monaco, San Marino</w:t>
      </w:r>
    </w:p>
  </w:footnote>
  <w:footnote w:id="3">
    <w:p w:rsidR="00907CC4" w:rsidRPr="009D1ABE" w:rsidRDefault="00907CC4" w:rsidP="00CB3A4B">
      <w:pPr>
        <w:pStyle w:val="Voetnoottekst"/>
      </w:pPr>
      <w:r>
        <w:rPr>
          <w:rStyle w:val="Voetnootmarkering"/>
        </w:rPr>
        <w:footnoteRef/>
      </w:r>
      <w:r>
        <w:t xml:space="preserve"> Oost-Europa: Estland, Letland, Litouwen, Polen, Tsjechië, Slowakije, Hongarije, Slovenië, Bulgarije, Roemenië, Albanië, Belarus, Servië, Kosovo, Moldavië, Rusland, Kroatië, Macedonië, Bosnië, Montenegro, Oekraïne, voormalig Joegoslavië, voormalige Sovjet-Unie</w:t>
      </w:r>
    </w:p>
  </w:footnote>
  <w:footnote w:id="4">
    <w:p w:rsidR="00907CC4" w:rsidRPr="00052EB7" w:rsidRDefault="00907CC4" w:rsidP="00CB3A4B">
      <w:pPr>
        <w:pStyle w:val="Voetnoottekst"/>
        <w:rPr>
          <w:lang w:val="nl-BE"/>
        </w:rPr>
      </w:pPr>
      <w:r>
        <w:rPr>
          <w:rStyle w:val="Voetnootmarkering"/>
        </w:rPr>
        <w:footnoteRef/>
      </w:r>
      <w:r>
        <w:t xml:space="preserve"> </w:t>
      </w:r>
      <w:r>
        <w:rPr>
          <w:lang w:val="nl-BE"/>
        </w:rPr>
        <w:t>zowel de huidige nationaliteit en vorige nationaliteit</w:t>
      </w:r>
    </w:p>
  </w:footnote>
  <w:footnote w:id="5">
    <w:p w:rsidR="00907CC4" w:rsidRPr="00EB68A8" w:rsidRDefault="00907CC4" w:rsidP="00CB3A4B">
      <w:pPr>
        <w:pStyle w:val="Voetnoottekst"/>
      </w:pPr>
      <w:r>
        <w:rPr>
          <w:rStyle w:val="Voetnootmarkering"/>
        </w:rPr>
        <w:footnoteRef/>
      </w:r>
      <w:r>
        <w:t xml:space="preserve"> Hierbij brengt men patroniemen onder in taalfamilies</w:t>
      </w:r>
    </w:p>
  </w:footnote>
  <w:footnote w:id="6">
    <w:p w:rsidR="00907CC4" w:rsidRPr="00EB68A8" w:rsidRDefault="00907CC4" w:rsidP="00CB3A4B">
      <w:pPr>
        <w:pStyle w:val="Voetnoottekst"/>
        <w:rPr>
          <w:lang w:val="nl-BE"/>
        </w:rPr>
      </w:pPr>
      <w:r>
        <w:rPr>
          <w:rStyle w:val="Voetnootmarkering"/>
        </w:rPr>
        <w:footnoteRef/>
      </w:r>
      <w:r>
        <w:t xml:space="preserve"> </w:t>
      </w:r>
      <w:r w:rsidRPr="002743D1">
        <w:t>bevragingen, enquêtes, vragenlijsten, volkstellingen, …</w:t>
      </w:r>
    </w:p>
  </w:footnote>
  <w:footnote w:id="7">
    <w:p w:rsidR="00907CC4" w:rsidRPr="007A46D5" w:rsidRDefault="00907CC4" w:rsidP="00CB3A4B">
      <w:pPr>
        <w:pStyle w:val="Voetnoottekst"/>
      </w:pPr>
      <w:r>
        <w:rPr>
          <w:rStyle w:val="Voetnootmarkering"/>
        </w:rPr>
        <w:footnoteRef/>
      </w:r>
      <w:r>
        <w:t xml:space="preserve"> </w:t>
      </w:r>
      <w:r w:rsidRPr="002743D1">
        <w:t xml:space="preserve">Tegen </w:t>
      </w:r>
      <w:r w:rsidRPr="007A46D5">
        <w:t>naamherkenning</w:t>
      </w:r>
      <w:r w:rsidRPr="002743D1">
        <w:t xml:space="preserve">  heeft het Minderhedenforum geen principiële bezwaren, al is dit arbeidsintensief en niet </w:t>
      </w:r>
      <w:proofErr w:type="spellStart"/>
      <w:r w:rsidRPr="002743D1">
        <w:t>éénduidig</w:t>
      </w:r>
      <w:proofErr w:type="spellEnd"/>
      <w:r>
        <w:t>. De privacy is hier niet in het geding.</w:t>
      </w:r>
    </w:p>
  </w:footnote>
  <w:footnote w:id="8">
    <w:p w:rsidR="00907CC4" w:rsidRPr="00052EB7" w:rsidRDefault="00907CC4" w:rsidP="00CB3A4B">
      <w:pPr>
        <w:pStyle w:val="Voetnoottekst"/>
        <w:rPr>
          <w:lang w:val="nl-BE"/>
        </w:rPr>
      </w:pPr>
      <w:r>
        <w:rPr>
          <w:rStyle w:val="Voetnootmarkering"/>
        </w:rPr>
        <w:footnoteRef/>
      </w:r>
      <w:r>
        <w:rPr>
          <w:lang w:val="nl-BE"/>
        </w:rPr>
        <w:t xml:space="preserve"> </w:t>
      </w:r>
      <w:r>
        <w:t>Wat betreft de</w:t>
      </w:r>
      <w:r w:rsidRPr="002743D1">
        <w:t xml:space="preserve"> </w:t>
      </w:r>
      <w:r w:rsidRPr="009D1ABE">
        <w:t>koppeling van nationaliteitsgegevens</w:t>
      </w:r>
      <w:r w:rsidRPr="002743D1">
        <w:rPr>
          <w:b/>
        </w:rPr>
        <w:t xml:space="preserve"> </w:t>
      </w:r>
      <w:r w:rsidRPr="002743D1">
        <w:t>binnen verschillende registers (bv. rijksregister, vreemdelingenregister,) en thematische databanken (sociale zekerheid, … )</w:t>
      </w:r>
      <w:r>
        <w:t xml:space="preserve"> vindt het Minderhedenforum de nodige garanties in het systeem van </w:t>
      </w:r>
      <w:r w:rsidRPr="009D1ABE">
        <w:rPr>
          <w:u w:val="single"/>
        </w:rPr>
        <w:t>socio-economische monitoring</w:t>
      </w:r>
      <w:r>
        <w:t xml:space="preserve"> (een oud voorstel van het CGKR). H</w:t>
      </w:r>
      <w:r w:rsidRPr="002743D1">
        <w:t>e</w:t>
      </w:r>
      <w:r>
        <w:t xml:space="preserve">t opzoeken van de nationaliteitsgegevens gebeurt immers met toestemming van de </w:t>
      </w:r>
      <w:proofErr w:type="spellStart"/>
      <w:r>
        <w:t>Privacycommissie</w:t>
      </w:r>
      <w:proofErr w:type="spellEnd"/>
      <w:r>
        <w:t xml:space="preserve"> en </w:t>
      </w:r>
      <w:r w:rsidRPr="002743D1">
        <w:t xml:space="preserve">de gegevens worden beheerd en afgeschermd door een </w:t>
      </w:r>
      <w:proofErr w:type="spellStart"/>
      <w:r w:rsidRPr="002743D1">
        <w:t>trusted</w:t>
      </w:r>
      <w:proofErr w:type="spellEnd"/>
      <w:r w:rsidRPr="002743D1">
        <w:t xml:space="preserve"> </w:t>
      </w:r>
      <w:proofErr w:type="spellStart"/>
      <w:r w:rsidRPr="002743D1">
        <w:t>third</w:t>
      </w:r>
      <w:proofErr w:type="spellEnd"/>
      <w:r w:rsidRPr="002743D1">
        <w:t xml:space="preserve"> party</w:t>
      </w:r>
      <w:r>
        <w:t xml:space="preserve"> en enkel ontsloten </w:t>
      </w:r>
      <w:r w:rsidRPr="002743D1">
        <w:t>op groepsniveau</w:t>
      </w:r>
      <w:r>
        <w:t xml:space="preserve"> </w:t>
      </w:r>
    </w:p>
  </w:footnote>
  <w:footnote w:id="9">
    <w:p w:rsidR="00907CC4" w:rsidRPr="00EB68A8" w:rsidRDefault="00907CC4" w:rsidP="00CB3A4B">
      <w:pPr>
        <w:pStyle w:val="Voetnoottekst"/>
        <w:rPr>
          <w:lang w:val="nl-BE"/>
        </w:rPr>
      </w:pPr>
      <w:r>
        <w:rPr>
          <w:rStyle w:val="Voetnootmarkering"/>
        </w:rPr>
        <w:footnoteRef/>
      </w:r>
      <w:r>
        <w:t xml:space="preserve"> </w:t>
      </w:r>
      <w:r w:rsidRPr="002743D1">
        <w:t xml:space="preserve">Bij </w:t>
      </w:r>
      <w:proofErr w:type="spellStart"/>
      <w:r w:rsidRPr="00EB68A8">
        <w:rPr>
          <w:u w:val="single"/>
        </w:rPr>
        <w:t>surveys</w:t>
      </w:r>
      <w:proofErr w:type="spellEnd"/>
      <w:r w:rsidRPr="00EB68A8">
        <w:rPr>
          <w:u w:val="single"/>
        </w:rPr>
        <w:t xml:space="preserve"> of bevragingen</w:t>
      </w:r>
      <w:r w:rsidRPr="002743D1">
        <w:t>, moeten de bevraagde personen altijd de mogelijkheid krijgen om er niet op te antwoorden..</w:t>
      </w:r>
    </w:p>
  </w:footnote>
  <w:footnote w:id="10">
    <w:p w:rsidR="00B53B02" w:rsidRPr="00795DB1" w:rsidRDefault="00B53B02" w:rsidP="00B53B02">
      <w:pPr>
        <w:rPr>
          <w:lang w:val="nl-BE"/>
        </w:rPr>
      </w:pPr>
      <w:r>
        <w:rPr>
          <w:rStyle w:val="Voetnootmarkering"/>
        </w:rPr>
        <w:footnoteRef/>
      </w:r>
      <w:r>
        <w:t xml:space="preserve"> </w:t>
      </w:r>
      <w:hyperlink r:id="rId1" w:history="1">
        <w:r>
          <w:rPr>
            <w:rStyle w:val="Hyperlink"/>
          </w:rPr>
          <w:t>http://aps.vlaanderen.be/lokaal/integratiemonitor.html</w:t>
        </w:r>
      </w:hyperlink>
    </w:p>
  </w:footnote>
  <w:footnote w:id="11">
    <w:p w:rsidR="00907CC4" w:rsidRPr="00795DB1" w:rsidRDefault="00907CC4" w:rsidP="008D5DE1">
      <w:pPr>
        <w:rPr>
          <w:lang w:val="nl-BE"/>
        </w:rPr>
      </w:pPr>
      <w:r>
        <w:rPr>
          <w:rStyle w:val="Voetnootmarkering"/>
        </w:rPr>
        <w:footnoteRef/>
      </w:r>
      <w:r>
        <w:t xml:space="preserve"> </w:t>
      </w:r>
      <w:hyperlink r:id="rId2" w:history="1">
        <w:r>
          <w:rPr>
            <w:rStyle w:val="Hyperlink"/>
          </w:rPr>
          <w:t>http://aps.vlaanderen.be/lokaal/integratiemonitor.html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7036"/>
    <w:multiLevelType w:val="hybridMultilevel"/>
    <w:tmpl w:val="520ADA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2C9697B"/>
    <w:multiLevelType w:val="hybridMultilevel"/>
    <w:tmpl w:val="08D40996"/>
    <w:lvl w:ilvl="0" w:tplc="069AB7F0">
      <w:start w:val="1"/>
      <w:numFmt w:val="decimal"/>
      <w:lvlText w:val="%1."/>
      <w:lvlJc w:val="left"/>
      <w:pPr>
        <w:ind w:left="896" w:hanging="360"/>
      </w:pPr>
      <w:rPr>
        <w:rFonts w:hint="default"/>
        <w:b/>
      </w:rPr>
    </w:lvl>
    <w:lvl w:ilvl="1" w:tplc="08130019" w:tentative="1">
      <w:start w:val="1"/>
      <w:numFmt w:val="lowerLetter"/>
      <w:lvlText w:val="%2."/>
      <w:lvlJc w:val="left"/>
      <w:pPr>
        <w:ind w:left="1616" w:hanging="360"/>
      </w:pPr>
    </w:lvl>
    <w:lvl w:ilvl="2" w:tplc="0813001B" w:tentative="1">
      <w:start w:val="1"/>
      <w:numFmt w:val="lowerRoman"/>
      <w:lvlText w:val="%3."/>
      <w:lvlJc w:val="right"/>
      <w:pPr>
        <w:ind w:left="2336" w:hanging="180"/>
      </w:pPr>
    </w:lvl>
    <w:lvl w:ilvl="3" w:tplc="0813000F" w:tentative="1">
      <w:start w:val="1"/>
      <w:numFmt w:val="decimal"/>
      <w:lvlText w:val="%4."/>
      <w:lvlJc w:val="left"/>
      <w:pPr>
        <w:ind w:left="3056" w:hanging="360"/>
      </w:pPr>
    </w:lvl>
    <w:lvl w:ilvl="4" w:tplc="08130019" w:tentative="1">
      <w:start w:val="1"/>
      <w:numFmt w:val="lowerLetter"/>
      <w:lvlText w:val="%5."/>
      <w:lvlJc w:val="left"/>
      <w:pPr>
        <w:ind w:left="3776" w:hanging="360"/>
      </w:pPr>
    </w:lvl>
    <w:lvl w:ilvl="5" w:tplc="0813001B" w:tentative="1">
      <w:start w:val="1"/>
      <w:numFmt w:val="lowerRoman"/>
      <w:lvlText w:val="%6."/>
      <w:lvlJc w:val="right"/>
      <w:pPr>
        <w:ind w:left="4496" w:hanging="180"/>
      </w:pPr>
    </w:lvl>
    <w:lvl w:ilvl="6" w:tplc="0813000F" w:tentative="1">
      <w:start w:val="1"/>
      <w:numFmt w:val="decimal"/>
      <w:lvlText w:val="%7."/>
      <w:lvlJc w:val="left"/>
      <w:pPr>
        <w:ind w:left="5216" w:hanging="360"/>
      </w:pPr>
    </w:lvl>
    <w:lvl w:ilvl="7" w:tplc="08130019" w:tentative="1">
      <w:start w:val="1"/>
      <w:numFmt w:val="lowerLetter"/>
      <w:lvlText w:val="%8."/>
      <w:lvlJc w:val="left"/>
      <w:pPr>
        <w:ind w:left="5936" w:hanging="360"/>
      </w:pPr>
    </w:lvl>
    <w:lvl w:ilvl="8" w:tplc="0813001B" w:tentative="1">
      <w:start w:val="1"/>
      <w:numFmt w:val="lowerRoman"/>
      <w:lvlText w:val="%9."/>
      <w:lvlJc w:val="right"/>
      <w:pPr>
        <w:ind w:left="6656" w:hanging="180"/>
      </w:pPr>
    </w:lvl>
  </w:abstractNum>
  <w:abstractNum w:abstractNumId="2">
    <w:nsid w:val="289C241B"/>
    <w:multiLevelType w:val="hybridMultilevel"/>
    <w:tmpl w:val="A9C21C20"/>
    <w:lvl w:ilvl="0" w:tplc="45E6108E">
      <w:start w:val="1"/>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86D4CEC"/>
    <w:multiLevelType w:val="hybridMultilevel"/>
    <w:tmpl w:val="98E4F65E"/>
    <w:lvl w:ilvl="0" w:tplc="015EDD46">
      <w:start w:val="1"/>
      <w:numFmt w:val="decimal"/>
      <w:lvlText w:val="%1."/>
      <w:lvlJc w:val="left"/>
      <w:pPr>
        <w:tabs>
          <w:tab w:val="num" w:pos="720"/>
        </w:tabs>
        <w:ind w:left="720" w:hanging="360"/>
      </w:pPr>
      <w:rPr>
        <w:rFonts w:hint="default"/>
        <w:b w:val="0"/>
        <w:strike w:val="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65"/>
    <w:rsid w:val="000360E3"/>
    <w:rsid w:val="000755D8"/>
    <w:rsid w:val="000B595D"/>
    <w:rsid w:val="004C7731"/>
    <w:rsid w:val="00566454"/>
    <w:rsid w:val="007B42EC"/>
    <w:rsid w:val="008D5DE1"/>
    <w:rsid w:val="00907CC4"/>
    <w:rsid w:val="009F224A"/>
    <w:rsid w:val="00A03BC6"/>
    <w:rsid w:val="00AC66C5"/>
    <w:rsid w:val="00AF20E6"/>
    <w:rsid w:val="00B53B02"/>
    <w:rsid w:val="00B54365"/>
    <w:rsid w:val="00CB3A4B"/>
    <w:rsid w:val="00D41B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A4B"/>
    <w:pPr>
      <w:spacing w:after="0" w:line="240" w:lineRule="auto"/>
    </w:pPr>
    <w:rPr>
      <w:rFonts w:ascii="Century" w:eastAsia="Times New Roman" w:hAnsi="Century" w:cs="Times New Roman"/>
      <w:sz w:val="20"/>
      <w:szCs w:val="24"/>
      <w:lang w:val="nl-NL" w:eastAsia="nl-NL"/>
    </w:rPr>
  </w:style>
  <w:style w:type="paragraph" w:styleId="Kop3">
    <w:name w:val="heading 3"/>
    <w:basedOn w:val="Standaard"/>
    <w:next w:val="Standaard"/>
    <w:link w:val="Kop3Char"/>
    <w:qFormat/>
    <w:rsid w:val="00CB3A4B"/>
    <w:pPr>
      <w:keepNext/>
      <w:spacing w:before="240" w:after="60"/>
      <w:outlineLvl w:val="2"/>
    </w:pPr>
    <w:rPr>
      <w:rFonts w:cs="Arial"/>
      <w:b/>
      <w:bCs/>
      <w:sz w:val="26"/>
      <w:szCs w:val="26"/>
    </w:rPr>
  </w:style>
  <w:style w:type="paragraph" w:styleId="Kop6">
    <w:name w:val="heading 6"/>
    <w:basedOn w:val="Standaard"/>
    <w:next w:val="Standaard"/>
    <w:link w:val="Kop6Char"/>
    <w:qFormat/>
    <w:rsid w:val="00CB3A4B"/>
    <w:pPr>
      <w:keepNext/>
      <w:outlineLvl w:val="5"/>
    </w:pPr>
    <w:rPr>
      <w:caps/>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B3A4B"/>
    <w:rPr>
      <w:rFonts w:ascii="Century" w:eastAsia="Times New Roman" w:hAnsi="Century" w:cs="Arial"/>
      <w:b/>
      <w:bCs/>
      <w:sz w:val="26"/>
      <w:szCs w:val="26"/>
      <w:lang w:val="nl-NL" w:eastAsia="nl-NL"/>
    </w:rPr>
  </w:style>
  <w:style w:type="character" w:customStyle="1" w:styleId="Kop6Char">
    <w:name w:val="Kop 6 Char"/>
    <w:basedOn w:val="Standaardalinea-lettertype"/>
    <w:link w:val="Kop6"/>
    <w:rsid w:val="00CB3A4B"/>
    <w:rPr>
      <w:rFonts w:ascii="Century" w:eastAsia="Times New Roman" w:hAnsi="Century" w:cs="Times New Roman"/>
      <w:caps/>
      <w:sz w:val="36"/>
      <w:szCs w:val="24"/>
      <w:lang w:val="nl-NL" w:eastAsia="nl-NL"/>
    </w:rPr>
  </w:style>
  <w:style w:type="paragraph" w:styleId="Voetnoottekst">
    <w:name w:val="footnote text"/>
    <w:basedOn w:val="Standaard"/>
    <w:link w:val="VoetnoottekstChar"/>
    <w:rsid w:val="00CB3A4B"/>
    <w:rPr>
      <w:szCs w:val="20"/>
    </w:rPr>
  </w:style>
  <w:style w:type="character" w:customStyle="1" w:styleId="VoetnoottekstChar">
    <w:name w:val="Voetnoottekst Char"/>
    <w:basedOn w:val="Standaardalinea-lettertype"/>
    <w:link w:val="Voetnoottekst"/>
    <w:rsid w:val="00CB3A4B"/>
    <w:rPr>
      <w:rFonts w:ascii="Century" w:eastAsia="Times New Roman" w:hAnsi="Century" w:cs="Times New Roman"/>
      <w:sz w:val="20"/>
      <w:szCs w:val="20"/>
      <w:lang w:val="nl-NL" w:eastAsia="nl-NL"/>
    </w:rPr>
  </w:style>
  <w:style w:type="character" w:styleId="GevolgdeHyperlink">
    <w:name w:val="FollowedHyperlink"/>
    <w:rsid w:val="00CB3A4B"/>
    <w:rPr>
      <w:color w:val="B92726"/>
      <w:u w:val="single"/>
    </w:rPr>
  </w:style>
  <w:style w:type="paragraph" w:customStyle="1" w:styleId="auteur">
    <w:name w:val="auteur"/>
    <w:basedOn w:val="Standaard"/>
    <w:rsid w:val="00CB3A4B"/>
    <w:pPr>
      <w:jc w:val="right"/>
    </w:pPr>
    <w:rPr>
      <w:color w:val="808080"/>
      <w:sz w:val="18"/>
    </w:rPr>
  </w:style>
  <w:style w:type="character" w:styleId="Voetnootmarkering">
    <w:name w:val="footnote reference"/>
    <w:semiHidden/>
    <w:rsid w:val="00CB3A4B"/>
    <w:rPr>
      <w:vertAlign w:val="superscript"/>
    </w:rPr>
  </w:style>
  <w:style w:type="paragraph" w:styleId="Lijstalinea">
    <w:name w:val="List Paragraph"/>
    <w:basedOn w:val="Standaard"/>
    <w:uiPriority w:val="34"/>
    <w:qFormat/>
    <w:rsid w:val="00CB3A4B"/>
    <w:pPr>
      <w:spacing w:line="295" w:lineRule="auto"/>
      <w:ind w:left="720"/>
      <w:contextualSpacing/>
    </w:pPr>
    <w:rPr>
      <w:rFonts w:ascii="Calibri" w:eastAsia="Calibri" w:hAnsi="Calibri"/>
      <w:spacing w:val="2"/>
      <w:sz w:val="18"/>
      <w:szCs w:val="18"/>
      <w:lang w:val="nl-BE" w:eastAsia="en-US"/>
    </w:rPr>
  </w:style>
  <w:style w:type="paragraph" w:styleId="Ballontekst">
    <w:name w:val="Balloon Text"/>
    <w:basedOn w:val="Standaard"/>
    <w:link w:val="BallontekstChar"/>
    <w:uiPriority w:val="99"/>
    <w:semiHidden/>
    <w:unhideWhenUsed/>
    <w:rsid w:val="00CB3A4B"/>
    <w:rPr>
      <w:rFonts w:ascii="Tahoma" w:hAnsi="Tahoma" w:cs="Tahoma"/>
      <w:sz w:val="16"/>
      <w:szCs w:val="16"/>
    </w:rPr>
  </w:style>
  <w:style w:type="character" w:customStyle="1" w:styleId="BallontekstChar">
    <w:name w:val="Ballontekst Char"/>
    <w:basedOn w:val="Standaardalinea-lettertype"/>
    <w:link w:val="Ballontekst"/>
    <w:uiPriority w:val="99"/>
    <w:semiHidden/>
    <w:rsid w:val="00CB3A4B"/>
    <w:rPr>
      <w:rFonts w:ascii="Tahoma" w:eastAsia="Times New Roman" w:hAnsi="Tahoma" w:cs="Tahoma"/>
      <w:sz w:val="16"/>
      <w:szCs w:val="16"/>
      <w:lang w:val="nl-NL" w:eastAsia="nl-NL"/>
    </w:rPr>
  </w:style>
  <w:style w:type="character" w:styleId="Hyperlink">
    <w:name w:val="Hyperlink"/>
    <w:rsid w:val="008D5DE1"/>
    <w:rPr>
      <w:color w:val="808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3A4B"/>
    <w:pPr>
      <w:spacing w:after="0" w:line="240" w:lineRule="auto"/>
    </w:pPr>
    <w:rPr>
      <w:rFonts w:ascii="Century" w:eastAsia="Times New Roman" w:hAnsi="Century" w:cs="Times New Roman"/>
      <w:sz w:val="20"/>
      <w:szCs w:val="24"/>
      <w:lang w:val="nl-NL" w:eastAsia="nl-NL"/>
    </w:rPr>
  </w:style>
  <w:style w:type="paragraph" w:styleId="Kop3">
    <w:name w:val="heading 3"/>
    <w:basedOn w:val="Standaard"/>
    <w:next w:val="Standaard"/>
    <w:link w:val="Kop3Char"/>
    <w:qFormat/>
    <w:rsid w:val="00CB3A4B"/>
    <w:pPr>
      <w:keepNext/>
      <w:spacing w:before="240" w:after="60"/>
      <w:outlineLvl w:val="2"/>
    </w:pPr>
    <w:rPr>
      <w:rFonts w:cs="Arial"/>
      <w:b/>
      <w:bCs/>
      <w:sz w:val="26"/>
      <w:szCs w:val="26"/>
    </w:rPr>
  </w:style>
  <w:style w:type="paragraph" w:styleId="Kop6">
    <w:name w:val="heading 6"/>
    <w:basedOn w:val="Standaard"/>
    <w:next w:val="Standaard"/>
    <w:link w:val="Kop6Char"/>
    <w:qFormat/>
    <w:rsid w:val="00CB3A4B"/>
    <w:pPr>
      <w:keepNext/>
      <w:outlineLvl w:val="5"/>
    </w:pPr>
    <w:rPr>
      <w:caps/>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CB3A4B"/>
    <w:rPr>
      <w:rFonts w:ascii="Century" w:eastAsia="Times New Roman" w:hAnsi="Century" w:cs="Arial"/>
      <w:b/>
      <w:bCs/>
      <w:sz w:val="26"/>
      <w:szCs w:val="26"/>
      <w:lang w:val="nl-NL" w:eastAsia="nl-NL"/>
    </w:rPr>
  </w:style>
  <w:style w:type="character" w:customStyle="1" w:styleId="Kop6Char">
    <w:name w:val="Kop 6 Char"/>
    <w:basedOn w:val="Standaardalinea-lettertype"/>
    <w:link w:val="Kop6"/>
    <w:rsid w:val="00CB3A4B"/>
    <w:rPr>
      <w:rFonts w:ascii="Century" w:eastAsia="Times New Roman" w:hAnsi="Century" w:cs="Times New Roman"/>
      <w:caps/>
      <w:sz w:val="36"/>
      <w:szCs w:val="24"/>
      <w:lang w:val="nl-NL" w:eastAsia="nl-NL"/>
    </w:rPr>
  </w:style>
  <w:style w:type="paragraph" w:styleId="Voetnoottekst">
    <w:name w:val="footnote text"/>
    <w:basedOn w:val="Standaard"/>
    <w:link w:val="VoetnoottekstChar"/>
    <w:rsid w:val="00CB3A4B"/>
    <w:rPr>
      <w:szCs w:val="20"/>
    </w:rPr>
  </w:style>
  <w:style w:type="character" w:customStyle="1" w:styleId="VoetnoottekstChar">
    <w:name w:val="Voetnoottekst Char"/>
    <w:basedOn w:val="Standaardalinea-lettertype"/>
    <w:link w:val="Voetnoottekst"/>
    <w:rsid w:val="00CB3A4B"/>
    <w:rPr>
      <w:rFonts w:ascii="Century" w:eastAsia="Times New Roman" w:hAnsi="Century" w:cs="Times New Roman"/>
      <w:sz w:val="20"/>
      <w:szCs w:val="20"/>
      <w:lang w:val="nl-NL" w:eastAsia="nl-NL"/>
    </w:rPr>
  </w:style>
  <w:style w:type="character" w:styleId="GevolgdeHyperlink">
    <w:name w:val="FollowedHyperlink"/>
    <w:rsid w:val="00CB3A4B"/>
    <w:rPr>
      <w:color w:val="B92726"/>
      <w:u w:val="single"/>
    </w:rPr>
  </w:style>
  <w:style w:type="paragraph" w:customStyle="1" w:styleId="auteur">
    <w:name w:val="auteur"/>
    <w:basedOn w:val="Standaard"/>
    <w:rsid w:val="00CB3A4B"/>
    <w:pPr>
      <w:jc w:val="right"/>
    </w:pPr>
    <w:rPr>
      <w:color w:val="808080"/>
      <w:sz w:val="18"/>
    </w:rPr>
  </w:style>
  <w:style w:type="character" w:styleId="Voetnootmarkering">
    <w:name w:val="footnote reference"/>
    <w:semiHidden/>
    <w:rsid w:val="00CB3A4B"/>
    <w:rPr>
      <w:vertAlign w:val="superscript"/>
    </w:rPr>
  </w:style>
  <w:style w:type="paragraph" w:styleId="Lijstalinea">
    <w:name w:val="List Paragraph"/>
    <w:basedOn w:val="Standaard"/>
    <w:uiPriority w:val="34"/>
    <w:qFormat/>
    <w:rsid w:val="00CB3A4B"/>
    <w:pPr>
      <w:spacing w:line="295" w:lineRule="auto"/>
      <w:ind w:left="720"/>
      <w:contextualSpacing/>
    </w:pPr>
    <w:rPr>
      <w:rFonts w:ascii="Calibri" w:eastAsia="Calibri" w:hAnsi="Calibri"/>
      <w:spacing w:val="2"/>
      <w:sz w:val="18"/>
      <w:szCs w:val="18"/>
      <w:lang w:val="nl-BE" w:eastAsia="en-US"/>
    </w:rPr>
  </w:style>
  <w:style w:type="paragraph" w:styleId="Ballontekst">
    <w:name w:val="Balloon Text"/>
    <w:basedOn w:val="Standaard"/>
    <w:link w:val="BallontekstChar"/>
    <w:uiPriority w:val="99"/>
    <w:semiHidden/>
    <w:unhideWhenUsed/>
    <w:rsid w:val="00CB3A4B"/>
    <w:rPr>
      <w:rFonts w:ascii="Tahoma" w:hAnsi="Tahoma" w:cs="Tahoma"/>
      <w:sz w:val="16"/>
      <w:szCs w:val="16"/>
    </w:rPr>
  </w:style>
  <w:style w:type="character" w:customStyle="1" w:styleId="BallontekstChar">
    <w:name w:val="Ballontekst Char"/>
    <w:basedOn w:val="Standaardalinea-lettertype"/>
    <w:link w:val="Ballontekst"/>
    <w:uiPriority w:val="99"/>
    <w:semiHidden/>
    <w:rsid w:val="00CB3A4B"/>
    <w:rPr>
      <w:rFonts w:ascii="Tahoma" w:eastAsia="Times New Roman" w:hAnsi="Tahoma" w:cs="Tahoma"/>
      <w:sz w:val="16"/>
      <w:szCs w:val="16"/>
      <w:lang w:val="nl-NL" w:eastAsia="nl-NL"/>
    </w:rPr>
  </w:style>
  <w:style w:type="character" w:styleId="Hyperlink">
    <w:name w:val="Hyperlink"/>
    <w:rsid w:val="008D5DE1"/>
    <w:rPr>
      <w:color w:val="808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jpg@01CDA234.1027DF20"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aps.vlaanderen.be/lokaal/integratiemonitor.html" TargetMode="External"/><Relationship Id="rId1" Type="http://schemas.openxmlformats.org/officeDocument/2006/relationships/hyperlink" Target="http://aps.vlaanderen.be/lokaal/integratiemonito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8C9B-8DDE-4FAE-8325-D172BC00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1563</Words>
  <Characters>8599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Messiaen</dc:creator>
  <cp:keywords/>
  <dc:description/>
  <cp:lastModifiedBy>Maarten Messiaen</cp:lastModifiedBy>
  <cp:revision>9</cp:revision>
  <dcterms:created xsi:type="dcterms:W3CDTF">2012-10-22T11:32:00Z</dcterms:created>
  <dcterms:modified xsi:type="dcterms:W3CDTF">2012-12-11T11:00:00Z</dcterms:modified>
</cp:coreProperties>
</file>